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524E1D" w:rsidRPr="00EA2D8B"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00466A">
        <w:rPr>
          <w:rFonts w:ascii="Tahoma" w:hAnsi="Tahoma" w:cs="Tahoma"/>
          <w:b/>
        </w:rPr>
        <w:t>SAN SEBASTIAN DE MARIQUITA</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Pr="009D4B99">
        <w:rPr>
          <w:rFonts w:ascii="Tahoma" w:hAnsi="Tahoma" w:cs="Tahoma"/>
          <w:b w:val="0"/>
          <w:sz w:val="22"/>
          <w:szCs w:val="22"/>
        </w:rPr>
        <w:t xml:space="preserve">, estableciendo un </w:t>
      </w:r>
      <w:r>
        <w:rPr>
          <w:rFonts w:ascii="Tahoma" w:hAnsi="Tahoma" w:cs="Tahoma"/>
          <w:b w:val="0"/>
          <w:sz w:val="22"/>
          <w:szCs w:val="22"/>
        </w:rPr>
        <w:t>comparativo con la vigencia 2014.</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00466A">
        <w:rPr>
          <w:rFonts w:ascii="Tahoma" w:hAnsi="Tahoma" w:cs="Tahoma"/>
          <w:color w:val="auto"/>
        </w:rPr>
        <w:t>San Sebastián de Mariquita</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00AD0C4B" w:rsidRPr="00231ECA">
        <w:rPr>
          <w:rFonts w:ascii="Tahoma" w:hAnsi="Tahoma" w:cs="Tahoma"/>
          <w:color w:val="auto"/>
        </w:rPr>
        <w:t xml:space="preserve"> </w:t>
      </w:r>
      <w:r w:rsidR="007F40C8" w:rsidRPr="00231ECA">
        <w:rPr>
          <w:rFonts w:ascii="Tahoma" w:hAnsi="Tahoma" w:cs="Tahoma"/>
          <w:color w:val="auto"/>
        </w:rPr>
        <w:t>01</w:t>
      </w:r>
      <w:r w:rsidR="0000466A">
        <w:rPr>
          <w:rFonts w:ascii="Tahoma" w:hAnsi="Tahoma" w:cs="Tahoma"/>
          <w:color w:val="auto"/>
        </w:rPr>
        <w:t>3</w:t>
      </w:r>
      <w:r w:rsidR="007F40C8" w:rsidRPr="00231ECA">
        <w:rPr>
          <w:rFonts w:ascii="Tahoma" w:hAnsi="Tahoma" w:cs="Tahoma"/>
          <w:color w:val="auto"/>
        </w:rPr>
        <w:t xml:space="preserve"> </w:t>
      </w:r>
      <w:r w:rsidRPr="00231ECA">
        <w:rPr>
          <w:rFonts w:ascii="Tahoma" w:hAnsi="Tahoma" w:cs="Tahoma"/>
          <w:color w:val="auto"/>
        </w:rPr>
        <w:t>de</w:t>
      </w:r>
      <w:r w:rsidR="007F40C8" w:rsidRPr="00231ECA">
        <w:rPr>
          <w:rFonts w:ascii="Tahoma" w:hAnsi="Tahoma" w:cs="Tahoma"/>
          <w:color w:val="auto"/>
        </w:rPr>
        <w:t xml:space="preserve">l </w:t>
      </w:r>
      <w:r w:rsidR="0000466A">
        <w:rPr>
          <w:rFonts w:ascii="Tahoma" w:hAnsi="Tahoma" w:cs="Tahoma"/>
          <w:color w:val="auto"/>
        </w:rPr>
        <w:t>1</w:t>
      </w:r>
      <w:r w:rsidR="007F40C8" w:rsidRPr="00231ECA">
        <w:rPr>
          <w:rFonts w:ascii="Tahoma" w:hAnsi="Tahoma" w:cs="Tahoma"/>
          <w:color w:val="auto"/>
        </w:rPr>
        <w:t xml:space="preserve"> de</w:t>
      </w:r>
      <w:r w:rsidR="006D7C83" w:rsidRPr="00231ECA">
        <w:rPr>
          <w:rFonts w:ascii="Tahoma" w:hAnsi="Tahoma" w:cs="Tahoma"/>
          <w:color w:val="auto"/>
        </w:rPr>
        <w:t xml:space="preserve"> </w:t>
      </w:r>
      <w:r w:rsidR="00302682" w:rsidRPr="00231ECA">
        <w:rPr>
          <w:rFonts w:ascii="Tahoma" w:hAnsi="Tahoma" w:cs="Tahoma"/>
          <w:color w:val="auto"/>
        </w:rPr>
        <w:t xml:space="preserve">Diciembre </w:t>
      </w:r>
      <w:r w:rsidR="007F40C8" w:rsidRPr="00231ECA">
        <w:rPr>
          <w:rFonts w:ascii="Tahoma" w:hAnsi="Tahoma" w:cs="Tahoma"/>
          <w:color w:val="auto"/>
        </w:rPr>
        <w:t>de</w:t>
      </w:r>
      <w:r w:rsidR="006D7C83" w:rsidRPr="00231ECA">
        <w:rPr>
          <w:rFonts w:ascii="Tahoma" w:hAnsi="Tahoma" w:cs="Tahoma"/>
          <w:color w:val="auto"/>
        </w:rPr>
        <w:t xml:space="preserve"> 201</w:t>
      </w:r>
      <w:r w:rsidR="00AD0C4B" w:rsidRPr="00231ECA">
        <w:rPr>
          <w:rFonts w:ascii="Tahoma" w:hAnsi="Tahoma" w:cs="Tahoma"/>
          <w:color w:val="auto"/>
        </w:rPr>
        <w:t>4</w:t>
      </w:r>
      <w:r w:rsidR="006D7C83" w:rsidRPr="00231ECA">
        <w:rPr>
          <w:rFonts w:ascii="Tahoma" w:hAnsi="Tahoma" w:cs="Tahoma"/>
          <w:color w:val="auto"/>
        </w:rPr>
        <w:t xml:space="preserve"> </w:t>
      </w:r>
      <w:r w:rsidR="00EC36EF" w:rsidRPr="00231ECA">
        <w:rPr>
          <w:rFonts w:ascii="Tahoma" w:hAnsi="Tahoma" w:cs="Tahoma"/>
          <w:color w:val="auto"/>
        </w:rPr>
        <w:t>y liquidado por el Alcalde Mun</w:t>
      </w:r>
      <w:r w:rsidR="007F40C8" w:rsidRPr="00231ECA">
        <w:rPr>
          <w:rFonts w:ascii="Tahoma" w:hAnsi="Tahoma" w:cs="Tahoma"/>
          <w:color w:val="auto"/>
        </w:rPr>
        <w:t xml:space="preserve">icipal mediante Decreto número </w:t>
      </w:r>
      <w:r w:rsidR="0000466A">
        <w:rPr>
          <w:rFonts w:ascii="Tahoma" w:hAnsi="Tahoma" w:cs="Tahoma"/>
          <w:color w:val="auto"/>
        </w:rPr>
        <w:t>251</w:t>
      </w:r>
      <w:r w:rsidR="00EC36EF" w:rsidRPr="00231ECA">
        <w:rPr>
          <w:rFonts w:ascii="Tahoma" w:hAnsi="Tahoma" w:cs="Tahoma"/>
          <w:color w:val="auto"/>
        </w:rPr>
        <w:t xml:space="preserve">  del </w:t>
      </w:r>
      <w:r w:rsidR="0000466A">
        <w:rPr>
          <w:rFonts w:ascii="Tahoma" w:hAnsi="Tahoma" w:cs="Tahoma"/>
          <w:color w:val="auto"/>
        </w:rPr>
        <w:t>10</w:t>
      </w:r>
      <w:r w:rsidR="00EC36EF" w:rsidRPr="00231ECA">
        <w:rPr>
          <w:rFonts w:ascii="Tahoma" w:hAnsi="Tahoma" w:cs="Tahoma"/>
          <w:color w:val="auto"/>
        </w:rPr>
        <w:t xml:space="preserve"> de Diciembre de 2014, </w:t>
      </w:r>
      <w:r w:rsidR="006A0F41" w:rsidRPr="00231ECA">
        <w:rPr>
          <w:rFonts w:ascii="Tahoma" w:hAnsi="Tahoma" w:cs="Tahoma"/>
          <w:color w:val="auto"/>
        </w:rPr>
        <w:t>en la suma de</w:t>
      </w:r>
      <w:r w:rsidR="006A0F41" w:rsidRPr="00231ECA">
        <w:rPr>
          <w:rFonts w:ascii="Tahoma" w:hAnsi="Tahoma" w:cs="Tahoma"/>
          <w:b/>
          <w:color w:val="auto"/>
        </w:rPr>
        <w:t xml:space="preserve">  </w:t>
      </w:r>
      <w:r w:rsidR="0000466A">
        <w:rPr>
          <w:rFonts w:ascii="Tahoma" w:hAnsi="Tahoma" w:cs="Tahoma"/>
          <w:b/>
          <w:color w:val="auto"/>
        </w:rPr>
        <w:t>VEINTICINCO MIL QUINIENTOS OCHENTA Y NUEVE MILLONES TRESCIENTOS NOVENTA MIL SETENTA Y SEIS PESOS</w:t>
      </w:r>
      <w:r w:rsidR="006A0F41" w:rsidRPr="00231ECA">
        <w:rPr>
          <w:rFonts w:ascii="Tahoma" w:hAnsi="Tahoma" w:cs="Tahoma"/>
          <w:b/>
          <w:color w:val="auto"/>
        </w:rPr>
        <w:t xml:space="preserve"> M/CTE ($</w:t>
      </w:r>
      <w:r w:rsidR="0000466A">
        <w:rPr>
          <w:rFonts w:ascii="Tahoma" w:hAnsi="Tahoma" w:cs="Tahoma"/>
          <w:b/>
          <w:color w:val="auto"/>
        </w:rPr>
        <w:t>25.589.390.076.o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5C0DCB" w:rsidRPr="00231ECA" w:rsidRDefault="005C0DCB" w:rsidP="005C0DCB">
      <w:pPr>
        <w:tabs>
          <w:tab w:val="left" w:pos="7907"/>
        </w:tabs>
        <w:spacing w:before="0" w:after="0" w:line="228" w:lineRule="auto"/>
        <w:jc w:val="both"/>
        <w:rPr>
          <w:rFonts w:ascii="Tahoma" w:hAnsi="Tahoma" w:cs="Tahoma"/>
        </w:rPr>
      </w:pPr>
    </w:p>
    <w:p w:rsidR="009848DF" w:rsidRPr="00231ECA" w:rsidRDefault="009848DF" w:rsidP="005C0DCB">
      <w:pPr>
        <w:tabs>
          <w:tab w:val="left" w:pos="7907"/>
        </w:tabs>
        <w:spacing w:before="0" w:after="0" w:line="228" w:lineRule="auto"/>
        <w:jc w:val="both"/>
        <w:rPr>
          <w:rFonts w:ascii="Tahoma" w:hAnsi="Tahoma" w:cs="Tahoma"/>
        </w:rPr>
      </w:pPr>
    </w:p>
    <w:p w:rsidR="009848DF" w:rsidRDefault="009848DF" w:rsidP="005C0DCB">
      <w:pPr>
        <w:tabs>
          <w:tab w:val="left" w:pos="7907"/>
        </w:tabs>
        <w:spacing w:before="0" w:after="0" w:line="228" w:lineRule="auto"/>
        <w:jc w:val="both"/>
        <w:rPr>
          <w:rFonts w:ascii="Tahoma" w:hAnsi="Tahoma" w:cs="Tahoma"/>
        </w:rPr>
      </w:pPr>
    </w:p>
    <w:p w:rsidR="00CB6D39" w:rsidRDefault="00CB6D39" w:rsidP="00DF6119">
      <w:pPr>
        <w:spacing w:before="0" w:after="0" w:line="228" w:lineRule="auto"/>
        <w:jc w:val="both"/>
        <w:rPr>
          <w:rFonts w:ascii="Tahoma" w:hAnsi="Tahoma" w:cs="Tahoma"/>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00466A">
        <w:rPr>
          <w:rFonts w:ascii="Tahoma" w:hAnsi="Tahoma" w:cs="Tahoma"/>
          <w:color w:val="auto"/>
        </w:rPr>
        <w:t>San Sebastián de Mariquita</w:t>
      </w:r>
      <w:r w:rsidR="009848DF">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00466A" w:rsidRPr="00231ECA">
        <w:rPr>
          <w:rFonts w:ascii="Tahoma" w:hAnsi="Tahoma" w:cs="Tahoma"/>
          <w:b/>
          <w:color w:val="auto"/>
        </w:rPr>
        <w:t>$</w:t>
      </w:r>
      <w:r w:rsidR="0000466A">
        <w:rPr>
          <w:rFonts w:ascii="Tahoma" w:hAnsi="Tahoma" w:cs="Tahoma"/>
          <w:b/>
          <w:color w:val="auto"/>
        </w:rPr>
        <w:t>25.589.390.076.o</w:t>
      </w:r>
      <w:r w:rsidR="0000466A" w:rsidRPr="00231ECA">
        <w:rPr>
          <w:rFonts w:ascii="Tahoma" w:hAnsi="Tahoma" w:cs="Tahoma"/>
          <w:b/>
          <w:color w:val="auto"/>
        </w:rPr>
        <w:t>o</w:t>
      </w:r>
      <w:r w:rsidR="009848DF" w:rsidRPr="00CA669B">
        <w:rPr>
          <w:rFonts w:ascii="Tahoma" w:hAnsi="Tahoma" w:cs="Tahoma"/>
          <w:b/>
          <w:color w:val="auto"/>
        </w:rPr>
        <w:t>,</w:t>
      </w:r>
      <w:r w:rsidR="009848DF">
        <w:rPr>
          <w:rFonts w:ascii="Tahoma" w:hAnsi="Tahoma" w:cs="Tahoma"/>
          <w:b/>
          <w:color w:val="auto"/>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9848DF" w:rsidRPr="00B26183">
        <w:rPr>
          <w:rFonts w:ascii="Tahoma" w:hAnsi="Tahoma" w:cs="Tahoma"/>
          <w:b/>
          <w:color w:val="auto"/>
        </w:rPr>
        <w:t>$</w:t>
      </w:r>
      <w:r w:rsidR="0000466A" w:rsidRPr="00B26183">
        <w:rPr>
          <w:rFonts w:ascii="Tahoma" w:hAnsi="Tahoma" w:cs="Tahoma"/>
          <w:b/>
          <w:color w:val="auto"/>
        </w:rPr>
        <w:t>13.975.578.735</w:t>
      </w:r>
      <w:r w:rsidR="00E27D3B" w:rsidRPr="00B26183">
        <w:rPr>
          <w:rFonts w:ascii="Tahoma" w:eastAsia="Times New Roman" w:hAnsi="Tahoma" w:cs="Tahoma"/>
          <w:b/>
          <w:bCs/>
          <w:color w:val="auto"/>
        </w:rPr>
        <w:t>.</w:t>
      </w:r>
      <w:r w:rsidR="00DA6502" w:rsidRPr="00B26183">
        <w:rPr>
          <w:rFonts w:ascii="Tahoma" w:eastAsia="Times New Roman" w:hAnsi="Tahoma" w:cs="Tahoma"/>
          <w:b/>
          <w:bCs/>
          <w:color w:val="auto"/>
        </w:rPr>
        <w:t>oo</w:t>
      </w:r>
      <w:r w:rsidR="0000466A" w:rsidRPr="0000466A">
        <w:rPr>
          <w:rFonts w:ascii="Arial Narrow" w:eastAsia="Times New Roman" w:hAnsi="Arial Narrow"/>
          <w:b/>
          <w:bCs/>
          <w:sz w:val="20"/>
          <w:szCs w:val="20"/>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$494.062.383</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B26183" w:rsidRPr="00B26183">
        <w:rPr>
          <w:rFonts w:ascii="Tahoma" w:eastAsia="Times New Roman" w:hAnsi="Tahoma" w:cs="Tahoma"/>
          <w:b/>
          <w:bCs/>
          <w:color w:val="auto"/>
        </w:rPr>
        <w:t>39.070.906.428</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268"/>
        <w:gridCol w:w="1843"/>
        <w:gridCol w:w="2570"/>
      </w:tblGrid>
      <w:tr w:rsidR="008B0625" w:rsidRPr="00BA1DE4" w:rsidTr="002733BF">
        <w:trPr>
          <w:trHeight w:val="327"/>
        </w:trPr>
        <w:tc>
          <w:tcPr>
            <w:tcW w:w="2376" w:type="dxa"/>
          </w:tcPr>
          <w:p w:rsidR="008B0625" w:rsidRPr="00B26183" w:rsidRDefault="008B0625" w:rsidP="00511C4D">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1C4D">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843" w:type="dxa"/>
          </w:tcPr>
          <w:p w:rsidR="008B0625" w:rsidRPr="00B26183" w:rsidRDefault="008B0625" w:rsidP="00511C4D">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8B0625" w:rsidRPr="00B26183" w:rsidRDefault="008B0625" w:rsidP="00511C4D">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2733BF">
        <w:trPr>
          <w:trHeight w:val="551"/>
        </w:trPr>
        <w:tc>
          <w:tcPr>
            <w:tcW w:w="2376" w:type="dxa"/>
          </w:tcPr>
          <w:p w:rsidR="008B0625" w:rsidRPr="00B26183" w:rsidRDefault="00B26183" w:rsidP="00511C4D">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hAnsi="Tahoma" w:cs="Tahoma"/>
                <w:color w:val="auto"/>
                <w:sz w:val="20"/>
                <w:szCs w:val="20"/>
              </w:rPr>
              <w:t>$25.589.390.076.oo</w:t>
            </w:r>
          </w:p>
        </w:tc>
        <w:tc>
          <w:tcPr>
            <w:tcW w:w="2268" w:type="dxa"/>
          </w:tcPr>
          <w:p w:rsidR="008B0625" w:rsidRPr="00B26183" w:rsidRDefault="00B26183" w:rsidP="00511C4D">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hAnsi="Tahoma" w:cs="Tahoma"/>
                <w:color w:val="auto"/>
                <w:sz w:val="20"/>
                <w:szCs w:val="20"/>
              </w:rPr>
              <w:t>$13.975.578.735</w:t>
            </w:r>
            <w:r w:rsidRPr="00B26183">
              <w:rPr>
                <w:rFonts w:ascii="Tahoma" w:eastAsia="Times New Roman" w:hAnsi="Tahoma" w:cs="Tahoma"/>
                <w:bCs/>
                <w:color w:val="auto"/>
                <w:sz w:val="20"/>
                <w:szCs w:val="20"/>
              </w:rPr>
              <w:t>.oo</w:t>
            </w:r>
          </w:p>
        </w:tc>
        <w:tc>
          <w:tcPr>
            <w:tcW w:w="1843" w:type="dxa"/>
          </w:tcPr>
          <w:p w:rsidR="008B0625" w:rsidRPr="00B26183" w:rsidRDefault="00B26183" w:rsidP="00511C4D">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$494.062.383.oo</w:t>
            </w:r>
          </w:p>
        </w:tc>
        <w:tc>
          <w:tcPr>
            <w:tcW w:w="2570" w:type="dxa"/>
          </w:tcPr>
          <w:p w:rsidR="008B0625" w:rsidRPr="00B26183" w:rsidRDefault="00B26183" w:rsidP="00511C4D">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$39.070.906.428.oo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extent cx="5097780" cy="3108960"/>
            <wp:effectExtent l="0" t="0" r="26670" b="1524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F8609F" w:rsidRDefault="00F8609F" w:rsidP="009A7AA1">
      <w:pPr>
        <w:jc w:val="both"/>
        <w:rPr>
          <w:rFonts w:ascii="Tahoma" w:eastAsia="Times New Roman" w:hAnsi="Tahoma" w:cs="Tahoma"/>
          <w:color w:val="auto"/>
        </w:rPr>
      </w:pPr>
    </w:p>
    <w:p w:rsidR="00231ECA" w:rsidRDefault="00231ECA" w:rsidP="00685EF4">
      <w:pPr>
        <w:rPr>
          <w:rFonts w:ascii="Tahoma" w:eastAsia="Times New Roman" w:hAnsi="Tahoma" w:cs="Tahoma"/>
          <w:b/>
          <w:color w:val="auto"/>
        </w:rPr>
      </w:pPr>
    </w:p>
    <w:p w:rsidR="00F8609F" w:rsidRDefault="00685EF4" w:rsidP="00685EF4">
      <w:pPr>
        <w:rPr>
          <w:rFonts w:ascii="Tahoma" w:eastAsia="Times New Roman" w:hAnsi="Tahoma" w:cs="Tahoma"/>
          <w:b/>
          <w:color w:val="auto"/>
        </w:rPr>
      </w:pPr>
      <w:r w:rsidRPr="00685EF4">
        <w:rPr>
          <w:rFonts w:ascii="Tahoma" w:eastAsia="Times New Roman" w:hAnsi="Tahoma" w:cs="Tahoma"/>
          <w:b/>
          <w:color w:val="auto"/>
        </w:rPr>
        <w:lastRenderedPageBreak/>
        <w:t>PRESUPUESTO INICIAL DE INGRESOS</w:t>
      </w:r>
    </w:p>
    <w:p w:rsidR="00231ECA" w:rsidRDefault="00231ECA" w:rsidP="00685EF4">
      <w:pPr>
        <w:rPr>
          <w:rFonts w:ascii="Tahoma" w:eastAsia="Times New Roman" w:hAnsi="Tahoma" w:cs="Tahoma"/>
          <w:b/>
          <w:color w:val="auto"/>
        </w:rPr>
      </w:pPr>
    </w:p>
    <w:p w:rsidR="009A7AA1" w:rsidRDefault="001A3646" w:rsidP="00F8609F">
      <w:pPr>
        <w:jc w:val="center"/>
        <w:rPr>
          <w:rFonts w:ascii="Tahoma" w:eastAsia="Times New Roman" w:hAnsi="Tahoma" w:cs="Tahoma"/>
          <w:color w:val="auto"/>
        </w:rPr>
      </w:pPr>
      <w:r w:rsidRPr="001A3646">
        <w:rPr>
          <w:noProof/>
        </w:rPr>
        <w:drawing>
          <wp:inline distT="0" distB="0" distL="0" distR="0" wp14:anchorId="4ED7410F" wp14:editId="32E7CD98">
            <wp:extent cx="5128705" cy="5326842"/>
            <wp:effectExtent l="0" t="0" r="0" b="762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28705" cy="5326842"/>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685EF4"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Pr="009A7AA1">
        <w:rPr>
          <w:rFonts w:ascii="Tahoma" w:eastAsia="Times New Roman" w:hAnsi="Tahoma" w:cs="Tahoma"/>
          <w:bCs/>
          <w:color w:val="auto"/>
        </w:rPr>
        <w:t>2</w:t>
      </w:r>
      <w:r w:rsidR="0010414B">
        <w:rPr>
          <w:rFonts w:ascii="Tahoma" w:eastAsia="Times New Roman" w:hAnsi="Tahoma" w:cs="Tahoma"/>
          <w:bCs/>
          <w:color w:val="auto"/>
        </w:rPr>
        <w:t>0</w:t>
      </w:r>
      <w:r w:rsidRPr="009A7AA1">
        <w:rPr>
          <w:rFonts w:ascii="Tahoma" w:eastAsia="Times New Roman" w:hAnsi="Tahoma" w:cs="Tahoma"/>
          <w:bCs/>
          <w:color w:val="auto"/>
        </w:rPr>
        <w:t>.</w:t>
      </w:r>
      <w:r w:rsidR="001A3646">
        <w:rPr>
          <w:rFonts w:ascii="Tahoma" w:eastAsia="Times New Roman" w:hAnsi="Tahoma" w:cs="Tahoma"/>
          <w:bCs/>
          <w:color w:val="auto"/>
        </w:rPr>
        <w:t>96</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1A3646">
        <w:rPr>
          <w:rFonts w:ascii="Tahoma" w:eastAsia="Times New Roman" w:hAnsi="Tahoma" w:cs="Tahoma"/>
          <w:bCs/>
          <w:color w:val="auto"/>
        </w:rPr>
        <w:t>5.363</w:t>
      </w:r>
      <w:r w:rsidR="00511C4D">
        <w:rPr>
          <w:rFonts w:ascii="Tahoma" w:eastAsia="Times New Roman" w:hAnsi="Tahoma" w:cs="Tahoma"/>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el </w:t>
      </w:r>
      <w:r w:rsidR="001A3646">
        <w:rPr>
          <w:rFonts w:ascii="Tahoma" w:eastAsia="Times New Roman" w:hAnsi="Tahoma" w:cs="Tahoma"/>
          <w:bCs/>
          <w:color w:val="auto"/>
        </w:rPr>
        <w:t>19.7</w:t>
      </w:r>
      <w:r>
        <w:rPr>
          <w:rFonts w:ascii="Tahoma" w:eastAsia="Times New Roman" w:hAnsi="Tahoma" w:cs="Tahoma"/>
          <w:bCs/>
          <w:color w:val="auto"/>
        </w:rPr>
        <w:t xml:space="preserve">2% equivalentes a </w:t>
      </w:r>
      <w:r w:rsidRPr="009A7AA1">
        <w:rPr>
          <w:rFonts w:ascii="Tahoma" w:eastAsia="Times New Roman" w:hAnsi="Tahoma" w:cs="Tahoma"/>
          <w:bCs/>
          <w:color w:val="auto"/>
        </w:rPr>
        <w:t>$</w:t>
      </w:r>
      <w:r w:rsidR="001A3646">
        <w:rPr>
          <w:rFonts w:ascii="Tahoma" w:eastAsia="Times New Roman" w:hAnsi="Tahoma" w:cs="Tahoma"/>
          <w:bCs/>
          <w:color w:val="auto"/>
        </w:rPr>
        <w:t>5.047</w:t>
      </w:r>
      <w:r w:rsidR="00511C4D">
        <w:rPr>
          <w:rFonts w:ascii="Tahoma" w:eastAsia="Times New Roman" w:hAnsi="Tahoma" w:cs="Tahoma"/>
          <w:color w:val="auto"/>
        </w:rPr>
        <w:t xml:space="preserve"> millones </w:t>
      </w:r>
      <w:r w:rsidRPr="009A7AA1">
        <w:rPr>
          <w:rFonts w:ascii="Tahoma" w:eastAsia="Times New Roman" w:hAnsi="Tahoma" w:cs="Tahoma"/>
          <w:bCs/>
          <w:color w:val="auto"/>
        </w:rPr>
        <w:t xml:space="preserve">y Fondos especiales </w:t>
      </w:r>
      <w:r w:rsidR="001A3646">
        <w:rPr>
          <w:rFonts w:ascii="Tahoma" w:eastAsia="Times New Roman" w:hAnsi="Tahoma" w:cs="Tahoma"/>
          <w:bCs/>
          <w:color w:val="auto"/>
        </w:rPr>
        <w:t>con un 58</w:t>
      </w:r>
      <w:r>
        <w:rPr>
          <w:rFonts w:ascii="Tahoma" w:eastAsia="Times New Roman" w:hAnsi="Tahoma" w:cs="Tahoma"/>
          <w:bCs/>
          <w:color w:val="auto"/>
        </w:rPr>
        <w:t>.</w:t>
      </w:r>
      <w:r w:rsidR="001A3646">
        <w:rPr>
          <w:rFonts w:ascii="Tahoma" w:eastAsia="Times New Roman" w:hAnsi="Tahoma" w:cs="Tahoma"/>
          <w:bCs/>
          <w:color w:val="auto"/>
        </w:rPr>
        <w:t>91</w:t>
      </w:r>
      <w:r>
        <w:rPr>
          <w:rFonts w:ascii="Tahoma" w:eastAsia="Times New Roman" w:hAnsi="Tahoma" w:cs="Tahoma"/>
          <w:bCs/>
          <w:color w:val="auto"/>
        </w:rPr>
        <w:t xml:space="preserve">%, equivalentes </w:t>
      </w:r>
      <w:r w:rsidRPr="009A7AA1">
        <w:rPr>
          <w:rFonts w:ascii="Tahoma" w:eastAsia="Times New Roman" w:hAnsi="Tahoma" w:cs="Tahoma"/>
          <w:bCs/>
          <w:color w:val="auto"/>
        </w:rPr>
        <w:t>$</w:t>
      </w:r>
      <w:r w:rsidR="001A3646">
        <w:rPr>
          <w:rFonts w:ascii="Tahoma" w:eastAsia="Times New Roman" w:hAnsi="Tahoma" w:cs="Tahoma"/>
          <w:bCs/>
          <w:color w:val="auto"/>
        </w:rPr>
        <w:t>15.074</w:t>
      </w:r>
      <w:r w:rsidR="00511C4D">
        <w:rPr>
          <w:rFonts w:ascii="Tahoma" w:eastAsia="Times New Roman" w:hAnsi="Tahoma" w:cs="Tahoma"/>
          <w:color w:val="auto"/>
        </w:rPr>
        <w:t xml:space="preserve"> millones.</w:t>
      </w:r>
      <w:r>
        <w:rPr>
          <w:rFonts w:ascii="Tahoma" w:eastAsia="Times New Roman" w:hAnsi="Tahoma" w:cs="Tahoma"/>
          <w:color w:val="auto"/>
        </w:rPr>
        <w:t xml:space="preserve"> </w:t>
      </w:r>
    </w:p>
    <w:p w:rsidR="004F7C44" w:rsidRDefault="004F7C44" w:rsidP="000653AB">
      <w:pPr>
        <w:tabs>
          <w:tab w:val="left" w:pos="2835"/>
        </w:tabs>
        <w:spacing w:before="0" w:after="0" w:line="19" w:lineRule="atLeast"/>
        <w:jc w:val="right"/>
        <w:rPr>
          <w:rFonts w:ascii="Tahoma" w:eastAsia="Times New Roman" w:hAnsi="Tahoma" w:cs="Tahoma"/>
          <w:bCs/>
          <w:color w:val="auto"/>
        </w:rPr>
      </w:pPr>
    </w:p>
    <w:p w:rsidR="00DE4790" w:rsidRDefault="00AE23D3" w:rsidP="00685EF4">
      <w:pPr>
        <w:tabs>
          <w:tab w:val="left" w:pos="2835"/>
        </w:tabs>
        <w:spacing w:before="0" w:after="0" w:line="19" w:lineRule="atLeast"/>
        <w:jc w:val="center"/>
        <w:rPr>
          <w:rFonts w:ascii="Tahoma" w:eastAsia="Times New Roman" w:hAnsi="Tahoma" w:cs="Tahoma"/>
          <w:b/>
          <w:bCs/>
          <w:color w:val="auto"/>
        </w:rPr>
      </w:pPr>
      <w:r>
        <w:rPr>
          <w:rFonts w:ascii="Tahoma" w:eastAsia="Times New Roman" w:hAnsi="Tahoma" w:cs="Tahoma"/>
          <w:noProof/>
          <w:color w:val="auto"/>
        </w:rPr>
        <w:drawing>
          <wp:inline distT="0" distB="0" distL="0" distR="0" wp14:anchorId="77DF4E74" wp14:editId="4CD1BC8A">
            <wp:extent cx="4937760" cy="2529840"/>
            <wp:effectExtent l="0" t="0" r="15240" b="2286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1ECA" w:rsidRDefault="00231ECA" w:rsidP="00521391">
      <w:pPr>
        <w:tabs>
          <w:tab w:val="left" w:pos="2835"/>
        </w:tabs>
        <w:spacing w:before="0" w:after="0" w:line="19" w:lineRule="atLeast"/>
        <w:jc w:val="both"/>
        <w:rPr>
          <w:rFonts w:ascii="Tahoma" w:eastAsia="Times New Roman" w:hAnsi="Tahoma" w:cs="Tahoma"/>
          <w:b/>
          <w:bCs/>
          <w:color w:val="auto"/>
        </w:rPr>
      </w:pPr>
    </w:p>
    <w:p w:rsidR="00521391" w:rsidRPr="00521391" w:rsidRDefault="00521391" w:rsidP="00521391">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sidR="00800EA9">
        <w:rPr>
          <w:rFonts w:ascii="Tahoma" w:eastAsia="Times New Roman" w:hAnsi="Tahoma" w:cs="Tahoma"/>
          <w:b/>
          <w:bCs/>
          <w:color w:val="auto"/>
        </w:rPr>
        <w:t xml:space="preserve"> </w:t>
      </w:r>
      <w:r w:rsidR="00CB6457">
        <w:rPr>
          <w:rFonts w:ascii="Tahoma" w:eastAsia="Times New Roman" w:hAnsi="Tahoma" w:cs="Tahoma"/>
          <w:b/>
          <w:bCs/>
          <w:color w:val="auto"/>
        </w:rPr>
        <w:t xml:space="preserve">DE INGRESOS </w:t>
      </w:r>
      <w:r w:rsidR="00800EA9">
        <w:rPr>
          <w:rFonts w:ascii="Tahoma" w:eastAsia="Times New Roman" w:hAnsi="Tahoma" w:cs="Tahoma"/>
          <w:b/>
          <w:bCs/>
          <w:color w:val="auto"/>
        </w:rPr>
        <w:t>(ADICIONES)</w:t>
      </w:r>
    </w:p>
    <w:p w:rsidR="00521391" w:rsidRDefault="00521391" w:rsidP="00521391">
      <w:pPr>
        <w:tabs>
          <w:tab w:val="left" w:pos="2835"/>
        </w:tabs>
        <w:spacing w:before="0" w:after="0" w:line="19" w:lineRule="atLeast"/>
        <w:jc w:val="both"/>
        <w:rPr>
          <w:rFonts w:ascii="Tahoma" w:eastAsia="Times New Roman" w:hAnsi="Tahoma" w:cs="Tahoma"/>
          <w:bCs/>
          <w:color w:val="auto"/>
        </w:rPr>
      </w:pPr>
    </w:p>
    <w:p w:rsidR="00EE40F7" w:rsidRDefault="00773547" w:rsidP="00521391">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El presupuesto de ingresos del Municipio de </w:t>
      </w:r>
      <w:r w:rsidR="00295C78">
        <w:rPr>
          <w:rFonts w:ascii="Tahoma" w:hAnsi="Tahoma" w:cs="Tahoma"/>
          <w:color w:val="auto"/>
        </w:rPr>
        <w:t>San Sebastián de Mariquita</w:t>
      </w:r>
      <w:r w:rsidR="00FA4922">
        <w:rPr>
          <w:rFonts w:ascii="Tahoma" w:eastAsia="Times New Roman" w:hAnsi="Tahoma" w:cs="Tahoma"/>
          <w:bCs/>
          <w:color w:val="auto"/>
        </w:rPr>
        <w:t xml:space="preserve"> fue adicionado en un </w:t>
      </w:r>
      <w:r w:rsidR="003A15E7">
        <w:rPr>
          <w:rFonts w:ascii="Tahoma" w:eastAsia="Times New Roman" w:hAnsi="Tahoma" w:cs="Tahoma"/>
          <w:bCs/>
          <w:color w:val="auto"/>
        </w:rPr>
        <w:t>54.61</w:t>
      </w:r>
      <w:r w:rsidR="00FA4922">
        <w:rPr>
          <w:rFonts w:ascii="Tahoma" w:eastAsia="Times New Roman" w:hAnsi="Tahoma" w:cs="Tahoma"/>
          <w:bCs/>
          <w:color w:val="auto"/>
        </w:rPr>
        <w:t xml:space="preserve">%, equivalentes a </w:t>
      </w:r>
      <w:r w:rsidR="00782F33">
        <w:rPr>
          <w:rFonts w:ascii="Tahoma" w:eastAsia="Times New Roman" w:hAnsi="Tahoma" w:cs="Tahoma"/>
          <w:bCs/>
          <w:color w:val="auto"/>
        </w:rPr>
        <w:t>$</w:t>
      </w:r>
      <w:r w:rsidR="003A15E7">
        <w:rPr>
          <w:rFonts w:ascii="Tahoma" w:eastAsia="Times New Roman" w:hAnsi="Tahoma" w:cs="Tahoma"/>
          <w:bCs/>
          <w:color w:val="auto"/>
        </w:rPr>
        <w:t>13.975</w:t>
      </w:r>
      <w:r w:rsidR="00782F33">
        <w:rPr>
          <w:rFonts w:ascii="Tahoma" w:eastAsia="Times New Roman" w:hAnsi="Tahoma" w:cs="Tahoma"/>
          <w:bCs/>
          <w:color w:val="auto"/>
        </w:rPr>
        <w:t xml:space="preserve"> millones</w:t>
      </w:r>
      <w:r>
        <w:rPr>
          <w:rFonts w:ascii="Tahoma" w:eastAsia="Times New Roman" w:hAnsi="Tahoma" w:cs="Tahoma"/>
          <w:bCs/>
          <w:color w:val="auto"/>
        </w:rPr>
        <w:t xml:space="preserve"> y l</w:t>
      </w:r>
      <w:r w:rsidR="00521391">
        <w:rPr>
          <w:rFonts w:ascii="Tahoma" w:eastAsia="Times New Roman" w:hAnsi="Tahoma" w:cs="Tahoma"/>
          <w:bCs/>
          <w:color w:val="auto"/>
        </w:rPr>
        <w:t xml:space="preserve">as principales modificaciones </w:t>
      </w:r>
      <w:r w:rsidR="00C22DBE">
        <w:rPr>
          <w:rFonts w:ascii="Tahoma" w:eastAsia="Times New Roman" w:hAnsi="Tahoma" w:cs="Tahoma"/>
          <w:bCs/>
          <w:color w:val="auto"/>
        </w:rPr>
        <w:t xml:space="preserve">se realizaron en los </w:t>
      </w:r>
      <w:r w:rsidR="00E4268B">
        <w:rPr>
          <w:rFonts w:ascii="Tahoma" w:eastAsia="Times New Roman" w:hAnsi="Tahoma" w:cs="Tahoma"/>
          <w:bCs/>
          <w:color w:val="auto"/>
        </w:rPr>
        <w:t xml:space="preserve">Ingresos Tributarios </w:t>
      </w:r>
      <w:r>
        <w:rPr>
          <w:rFonts w:ascii="Tahoma" w:eastAsia="Times New Roman" w:hAnsi="Tahoma" w:cs="Tahoma"/>
          <w:bCs/>
          <w:color w:val="auto"/>
        </w:rPr>
        <w:t>en la suma de $</w:t>
      </w:r>
      <w:r w:rsidR="00926317">
        <w:rPr>
          <w:rFonts w:ascii="Tahoma" w:eastAsia="Times New Roman" w:hAnsi="Tahoma" w:cs="Tahoma"/>
          <w:bCs/>
          <w:color w:val="auto"/>
        </w:rPr>
        <w:t>504</w:t>
      </w:r>
      <w:r w:rsidR="00782F33">
        <w:rPr>
          <w:rFonts w:ascii="Tahoma" w:eastAsia="Times New Roman" w:hAnsi="Tahoma" w:cs="Tahoma"/>
          <w:bCs/>
          <w:color w:val="auto"/>
        </w:rPr>
        <w:t xml:space="preserve"> millones</w:t>
      </w:r>
      <w:r w:rsidR="00C22DBE">
        <w:rPr>
          <w:rFonts w:ascii="Tahoma" w:eastAsia="Times New Roman" w:hAnsi="Tahoma" w:cs="Tahoma"/>
          <w:bCs/>
          <w:color w:val="auto"/>
        </w:rPr>
        <w:t xml:space="preserve">, </w:t>
      </w:r>
      <w:r w:rsidR="00E4268B">
        <w:rPr>
          <w:rFonts w:ascii="Tahoma" w:eastAsia="Times New Roman" w:hAnsi="Tahoma" w:cs="Tahoma"/>
          <w:bCs/>
          <w:color w:val="auto"/>
        </w:rPr>
        <w:t xml:space="preserve"> Ingresos </w:t>
      </w:r>
      <w:r w:rsidR="007050ED">
        <w:rPr>
          <w:rFonts w:ascii="Tahoma" w:eastAsia="Times New Roman" w:hAnsi="Tahoma" w:cs="Tahoma"/>
          <w:bCs/>
          <w:color w:val="auto"/>
        </w:rPr>
        <w:t>N</w:t>
      </w:r>
      <w:r w:rsidR="00E4268B">
        <w:rPr>
          <w:rFonts w:ascii="Tahoma" w:eastAsia="Times New Roman" w:hAnsi="Tahoma" w:cs="Tahoma"/>
          <w:bCs/>
          <w:color w:val="auto"/>
        </w:rPr>
        <w:t xml:space="preserve">o tributarios </w:t>
      </w:r>
      <w:r>
        <w:rPr>
          <w:rFonts w:ascii="Tahoma" w:eastAsia="Times New Roman" w:hAnsi="Tahoma" w:cs="Tahoma"/>
          <w:bCs/>
          <w:color w:val="auto"/>
        </w:rPr>
        <w:t>en la suma de $</w:t>
      </w:r>
      <w:r w:rsidR="009A236F">
        <w:rPr>
          <w:rFonts w:ascii="Tahoma" w:eastAsia="Times New Roman" w:hAnsi="Tahoma" w:cs="Tahoma"/>
          <w:bCs/>
          <w:color w:val="auto"/>
        </w:rPr>
        <w:t>24</w:t>
      </w:r>
      <w:r w:rsidR="00782F33">
        <w:rPr>
          <w:rFonts w:ascii="Tahoma" w:eastAsia="Times New Roman" w:hAnsi="Tahoma" w:cs="Tahoma"/>
          <w:bCs/>
          <w:color w:val="auto"/>
        </w:rPr>
        <w:t xml:space="preserve"> millones</w:t>
      </w:r>
      <w:r>
        <w:rPr>
          <w:rFonts w:ascii="Tahoma" w:eastAsia="Times New Roman" w:hAnsi="Tahoma" w:cs="Tahoma"/>
          <w:bCs/>
          <w:color w:val="auto"/>
        </w:rPr>
        <w:t xml:space="preserve">, </w:t>
      </w:r>
      <w:r w:rsidR="00D204CE">
        <w:rPr>
          <w:rFonts w:ascii="Tahoma" w:eastAsia="Times New Roman" w:hAnsi="Tahoma" w:cs="Tahoma"/>
          <w:bCs/>
          <w:color w:val="auto"/>
        </w:rPr>
        <w:t xml:space="preserve">Transferencias en la suma de $3.352 millones, </w:t>
      </w:r>
      <w:r>
        <w:rPr>
          <w:rFonts w:ascii="Tahoma" w:eastAsia="Times New Roman" w:hAnsi="Tahoma" w:cs="Tahoma"/>
          <w:bCs/>
          <w:color w:val="auto"/>
        </w:rPr>
        <w:t>fondos especiales en la suma de $</w:t>
      </w:r>
      <w:r w:rsidR="00926317">
        <w:rPr>
          <w:rFonts w:ascii="Tahoma" w:eastAsia="Times New Roman" w:hAnsi="Tahoma" w:cs="Tahoma"/>
          <w:bCs/>
          <w:color w:val="auto"/>
        </w:rPr>
        <w:t xml:space="preserve">3.367 </w:t>
      </w:r>
      <w:r w:rsidR="00782F33">
        <w:rPr>
          <w:rFonts w:ascii="Tahoma" w:eastAsia="Times New Roman" w:hAnsi="Tahoma" w:cs="Tahoma"/>
          <w:bCs/>
          <w:color w:val="auto"/>
        </w:rPr>
        <w:t>millones</w:t>
      </w:r>
      <w:r>
        <w:rPr>
          <w:rFonts w:ascii="Tahoma" w:eastAsia="Times New Roman" w:hAnsi="Tahoma" w:cs="Tahoma"/>
          <w:bCs/>
          <w:color w:val="auto"/>
        </w:rPr>
        <w:t xml:space="preserve">, </w:t>
      </w:r>
      <w:r w:rsidR="00751860">
        <w:rPr>
          <w:rFonts w:ascii="Tahoma" w:eastAsia="Times New Roman" w:hAnsi="Tahoma" w:cs="Tahoma"/>
          <w:bCs/>
          <w:color w:val="auto"/>
        </w:rPr>
        <w:t>Fondo de Contingencias</w:t>
      </w:r>
      <w:r>
        <w:rPr>
          <w:rFonts w:ascii="Tahoma" w:eastAsia="Times New Roman" w:hAnsi="Tahoma" w:cs="Tahoma"/>
          <w:bCs/>
          <w:color w:val="auto"/>
        </w:rPr>
        <w:t xml:space="preserve"> $</w:t>
      </w:r>
      <w:r w:rsidR="00751860">
        <w:rPr>
          <w:rFonts w:ascii="Tahoma" w:eastAsia="Times New Roman" w:hAnsi="Tahoma" w:cs="Tahoma"/>
          <w:bCs/>
          <w:color w:val="auto"/>
        </w:rPr>
        <w:t>490</w:t>
      </w:r>
      <w:r w:rsidR="00782F33">
        <w:rPr>
          <w:rFonts w:ascii="Tahoma" w:eastAsia="Times New Roman" w:hAnsi="Tahoma" w:cs="Tahoma"/>
          <w:bCs/>
          <w:color w:val="auto"/>
        </w:rPr>
        <w:t xml:space="preserve"> millones</w:t>
      </w:r>
      <w:r w:rsidR="00521391">
        <w:rPr>
          <w:rFonts w:ascii="Tahoma" w:eastAsia="Times New Roman" w:hAnsi="Tahoma" w:cs="Tahoma"/>
          <w:bCs/>
          <w:color w:val="auto"/>
        </w:rPr>
        <w:t>, Recursos de Capital</w:t>
      </w:r>
      <w:r>
        <w:rPr>
          <w:rFonts w:ascii="Tahoma" w:eastAsia="Times New Roman" w:hAnsi="Tahoma" w:cs="Tahoma"/>
          <w:bCs/>
          <w:color w:val="auto"/>
        </w:rPr>
        <w:t xml:space="preserve"> en la suma de $</w:t>
      </w:r>
      <w:r w:rsidR="00751860">
        <w:rPr>
          <w:rFonts w:ascii="Tahoma" w:eastAsia="Times New Roman" w:hAnsi="Tahoma" w:cs="Tahoma"/>
          <w:bCs/>
          <w:color w:val="auto"/>
        </w:rPr>
        <w:t>998</w:t>
      </w:r>
      <w:r w:rsidR="00782F33">
        <w:rPr>
          <w:rFonts w:ascii="Tahoma" w:eastAsia="Times New Roman" w:hAnsi="Tahoma" w:cs="Tahoma"/>
          <w:bCs/>
          <w:color w:val="auto"/>
        </w:rPr>
        <w:t xml:space="preserve"> millones</w:t>
      </w:r>
      <w:r w:rsidR="00521391">
        <w:rPr>
          <w:rFonts w:ascii="Tahoma" w:eastAsia="Times New Roman" w:hAnsi="Tahoma" w:cs="Tahoma"/>
          <w:bCs/>
          <w:color w:val="auto"/>
        </w:rPr>
        <w:t xml:space="preserve"> y </w:t>
      </w:r>
      <w:r w:rsidR="00782F33">
        <w:rPr>
          <w:rFonts w:ascii="Tahoma" w:eastAsia="Times New Roman" w:hAnsi="Tahoma" w:cs="Tahoma"/>
          <w:bCs/>
          <w:color w:val="auto"/>
        </w:rPr>
        <w:t xml:space="preserve">el </w:t>
      </w:r>
      <w:r w:rsidR="00521391">
        <w:rPr>
          <w:rFonts w:ascii="Tahoma" w:eastAsia="Times New Roman" w:hAnsi="Tahoma" w:cs="Tahoma"/>
          <w:bCs/>
          <w:color w:val="auto"/>
        </w:rPr>
        <w:t>Sistema General de Regalías</w:t>
      </w:r>
      <w:r>
        <w:rPr>
          <w:rFonts w:ascii="Tahoma" w:eastAsia="Times New Roman" w:hAnsi="Tahoma" w:cs="Tahoma"/>
          <w:bCs/>
          <w:color w:val="auto"/>
        </w:rPr>
        <w:t xml:space="preserve"> en la suma de $</w:t>
      </w:r>
      <w:r w:rsidR="00751860">
        <w:rPr>
          <w:rFonts w:ascii="Tahoma" w:eastAsia="Times New Roman" w:hAnsi="Tahoma" w:cs="Tahoma"/>
          <w:bCs/>
          <w:color w:val="auto"/>
        </w:rPr>
        <w:t>5.2</w:t>
      </w:r>
      <w:r>
        <w:rPr>
          <w:rFonts w:ascii="Tahoma" w:eastAsia="Times New Roman" w:hAnsi="Tahoma" w:cs="Tahoma"/>
          <w:bCs/>
          <w:color w:val="auto"/>
        </w:rPr>
        <w:t>38</w:t>
      </w:r>
      <w:r w:rsidR="00782F33">
        <w:rPr>
          <w:rFonts w:ascii="Tahoma" w:eastAsia="Times New Roman" w:hAnsi="Tahoma" w:cs="Tahoma"/>
          <w:bCs/>
          <w:color w:val="auto"/>
        </w:rPr>
        <w:t xml:space="preserve"> millones</w:t>
      </w:r>
      <w:r w:rsidR="002D5091">
        <w:rPr>
          <w:rFonts w:ascii="Tahoma" w:eastAsia="Times New Roman" w:hAnsi="Tahoma" w:cs="Tahoma"/>
          <w:bCs/>
          <w:color w:val="auto"/>
        </w:rPr>
        <w:t>.</w:t>
      </w:r>
      <w:r w:rsidR="00EE543C">
        <w:rPr>
          <w:rFonts w:ascii="Tahoma" w:eastAsia="Times New Roman" w:hAnsi="Tahoma" w:cs="Tahoma"/>
          <w:bCs/>
          <w:color w:val="auto"/>
        </w:rPr>
        <w:t xml:space="preserve"> Ver tabla.</w:t>
      </w:r>
    </w:p>
    <w:p w:rsidR="00231AC8" w:rsidRDefault="00231AC8" w:rsidP="00521391">
      <w:pPr>
        <w:tabs>
          <w:tab w:val="left" w:pos="2835"/>
        </w:tabs>
        <w:spacing w:before="0" w:after="0" w:line="19" w:lineRule="atLeast"/>
        <w:jc w:val="both"/>
        <w:rPr>
          <w:rFonts w:ascii="Tahoma" w:eastAsia="Times New Roman" w:hAnsi="Tahoma" w:cs="Tahoma"/>
          <w:bCs/>
          <w:color w:val="auto"/>
        </w:rPr>
      </w:pPr>
    </w:p>
    <w:p w:rsidR="00231AC8" w:rsidRDefault="00AA1C68" w:rsidP="00231AC8">
      <w:pPr>
        <w:tabs>
          <w:tab w:val="left" w:pos="2835"/>
        </w:tabs>
        <w:spacing w:before="0" w:after="0" w:line="19" w:lineRule="atLeast"/>
        <w:jc w:val="center"/>
        <w:rPr>
          <w:rFonts w:ascii="Tahoma" w:eastAsia="Times New Roman" w:hAnsi="Tahoma" w:cs="Tahoma"/>
          <w:bCs/>
          <w:color w:val="auto"/>
        </w:rPr>
      </w:pPr>
      <w:r w:rsidRPr="00AA1C68">
        <w:rPr>
          <w:noProof/>
        </w:rPr>
        <w:lastRenderedPageBreak/>
        <w:drawing>
          <wp:inline distT="0" distB="0" distL="0" distR="0" wp14:anchorId="65DD78D6" wp14:editId="7C719F60">
            <wp:extent cx="5326380" cy="2278380"/>
            <wp:effectExtent l="0" t="0" r="7620" b="762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26842" cy="2278578"/>
                    </a:xfrm>
                    <a:prstGeom prst="rect">
                      <a:avLst/>
                    </a:prstGeom>
                  </pic:spPr>
                </pic:pic>
              </a:graphicData>
            </a:graphic>
          </wp:inline>
        </w:drawing>
      </w:r>
    </w:p>
    <w:p w:rsidR="00EE40F7" w:rsidRDefault="00EE40F7" w:rsidP="009848DF">
      <w:pPr>
        <w:tabs>
          <w:tab w:val="left" w:pos="2835"/>
        </w:tabs>
        <w:spacing w:before="0" w:after="0" w:line="19" w:lineRule="atLeast"/>
        <w:jc w:val="both"/>
        <w:rPr>
          <w:rFonts w:ascii="Tahoma" w:eastAsia="Times New Roman" w:hAnsi="Tahoma" w:cs="Tahoma"/>
          <w:bCs/>
          <w:color w:val="auto"/>
        </w:rPr>
      </w:pPr>
    </w:p>
    <w:p w:rsidR="00B51E12" w:rsidRDefault="001F3599" w:rsidP="001F11A4">
      <w:pPr>
        <w:tabs>
          <w:tab w:val="left" w:pos="2835"/>
        </w:tabs>
        <w:spacing w:before="0" w:after="0" w:line="19" w:lineRule="atLeast"/>
        <w:jc w:val="center"/>
        <w:rPr>
          <w:rFonts w:ascii="Tahoma" w:eastAsia="Times New Roman" w:hAnsi="Tahoma" w:cs="Tahoma"/>
          <w:bCs/>
          <w:color w:val="auto"/>
        </w:rPr>
      </w:pPr>
      <w:r w:rsidRPr="001F3599">
        <w:rPr>
          <w:noProof/>
        </w:rPr>
        <w:drawing>
          <wp:inline distT="0" distB="0" distL="0" distR="0" wp14:anchorId="3E84A44C" wp14:editId="019FDEA4">
            <wp:extent cx="5387340" cy="3451860"/>
            <wp:effectExtent l="0" t="0" r="381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387808" cy="3452160"/>
                    </a:xfrm>
                    <a:prstGeom prst="rect">
                      <a:avLst/>
                    </a:prstGeom>
                  </pic:spPr>
                </pic:pic>
              </a:graphicData>
            </a:graphic>
          </wp:inline>
        </w:drawing>
      </w:r>
    </w:p>
    <w:p w:rsidR="00FA4922" w:rsidRDefault="00FA4922" w:rsidP="009848DF">
      <w:pPr>
        <w:tabs>
          <w:tab w:val="left" w:pos="2835"/>
        </w:tabs>
        <w:spacing w:before="0" w:after="0" w:line="19" w:lineRule="atLeast"/>
        <w:jc w:val="both"/>
        <w:rPr>
          <w:rFonts w:ascii="Tahoma" w:eastAsia="Times New Roman" w:hAnsi="Tahoma" w:cs="Tahoma"/>
          <w:bCs/>
          <w:color w:val="auto"/>
        </w:rPr>
      </w:pPr>
    </w:p>
    <w:p w:rsidR="0016372F" w:rsidRDefault="0016372F" w:rsidP="00256F6A">
      <w:pPr>
        <w:tabs>
          <w:tab w:val="left" w:pos="5667"/>
        </w:tabs>
        <w:spacing w:before="0" w:after="0" w:line="19" w:lineRule="atLeast"/>
        <w:jc w:val="both"/>
        <w:rPr>
          <w:rFonts w:ascii="Tahoma" w:eastAsia="Times New Roman" w:hAnsi="Tahoma" w:cs="Tahoma"/>
          <w:b/>
          <w:bCs/>
          <w:color w:val="auto"/>
        </w:rPr>
      </w:pPr>
    </w:p>
    <w:p w:rsidR="00B33ABA" w:rsidRDefault="00B33ABA" w:rsidP="00256F6A">
      <w:pPr>
        <w:tabs>
          <w:tab w:val="left" w:pos="5667"/>
        </w:tabs>
        <w:spacing w:before="0" w:after="0" w:line="19" w:lineRule="atLeast"/>
        <w:jc w:val="both"/>
        <w:rPr>
          <w:rFonts w:ascii="Tahoma" w:eastAsia="Times New Roman" w:hAnsi="Tahoma" w:cs="Tahoma"/>
          <w:b/>
          <w:bCs/>
          <w:color w:val="auto"/>
        </w:rPr>
      </w:pPr>
      <w:r w:rsidRPr="00B33ABA">
        <w:rPr>
          <w:rFonts w:ascii="Tahoma" w:eastAsia="Times New Roman" w:hAnsi="Tahoma" w:cs="Tahoma"/>
          <w:b/>
          <w:bCs/>
          <w:color w:val="auto"/>
        </w:rPr>
        <w:t>FUENTES DE FINANCIACION PRESUPUESTO</w:t>
      </w:r>
    </w:p>
    <w:p w:rsidR="00B33ABA" w:rsidRPr="00B33ABA" w:rsidRDefault="00B33ABA" w:rsidP="00256F6A">
      <w:pPr>
        <w:tabs>
          <w:tab w:val="left" w:pos="5667"/>
        </w:tabs>
        <w:spacing w:before="0" w:after="0" w:line="19" w:lineRule="atLeast"/>
        <w:jc w:val="both"/>
        <w:rPr>
          <w:rFonts w:ascii="Tahoma" w:eastAsia="Times New Roman" w:hAnsi="Tahoma" w:cs="Tahoma"/>
          <w:b/>
          <w:bCs/>
          <w:color w:val="auto"/>
        </w:rPr>
      </w:pPr>
    </w:p>
    <w:p w:rsidR="003F4BDE" w:rsidRDefault="004B1676"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lastRenderedPageBreak/>
        <w:t xml:space="preserve">Las principales fuentes </w:t>
      </w:r>
      <w:r w:rsidR="00745F39">
        <w:rPr>
          <w:rFonts w:ascii="Tahoma" w:eastAsia="Times New Roman" w:hAnsi="Tahoma" w:cs="Tahoma"/>
          <w:bCs/>
          <w:color w:val="auto"/>
        </w:rPr>
        <w:t xml:space="preserve">que </w:t>
      </w:r>
      <w:r>
        <w:rPr>
          <w:rFonts w:ascii="Tahoma" w:eastAsia="Times New Roman" w:hAnsi="Tahoma" w:cs="Tahoma"/>
          <w:bCs/>
          <w:color w:val="auto"/>
        </w:rPr>
        <w:t>financia</w:t>
      </w:r>
      <w:r w:rsidR="00745F39">
        <w:rPr>
          <w:rFonts w:ascii="Tahoma" w:eastAsia="Times New Roman" w:hAnsi="Tahoma" w:cs="Tahoma"/>
          <w:bCs/>
          <w:color w:val="auto"/>
        </w:rPr>
        <w:t xml:space="preserve">ron </w:t>
      </w:r>
      <w:r>
        <w:rPr>
          <w:rFonts w:ascii="Tahoma" w:eastAsia="Times New Roman" w:hAnsi="Tahoma" w:cs="Tahoma"/>
          <w:bCs/>
          <w:color w:val="auto"/>
        </w:rPr>
        <w:t>el presupuesto del Municipio</w:t>
      </w:r>
      <w:r w:rsidR="00D27BCA">
        <w:rPr>
          <w:rFonts w:ascii="Tahoma" w:eastAsia="Times New Roman" w:hAnsi="Tahoma" w:cs="Tahoma"/>
          <w:bCs/>
          <w:color w:val="auto"/>
        </w:rPr>
        <w:t xml:space="preserve"> de </w:t>
      </w:r>
      <w:r w:rsidR="004939F0">
        <w:rPr>
          <w:rFonts w:ascii="Tahoma" w:hAnsi="Tahoma" w:cs="Tahoma"/>
          <w:color w:val="auto"/>
        </w:rPr>
        <w:t>San Sebastián de Mariquita</w:t>
      </w:r>
      <w:r>
        <w:rPr>
          <w:rFonts w:ascii="Tahoma" w:eastAsia="Times New Roman" w:hAnsi="Tahoma" w:cs="Tahoma"/>
          <w:bCs/>
          <w:color w:val="auto"/>
        </w:rPr>
        <w:t xml:space="preserve"> fueron</w:t>
      </w:r>
      <w:r w:rsidR="004939F0">
        <w:rPr>
          <w:rFonts w:ascii="Tahoma" w:eastAsia="Times New Roman" w:hAnsi="Tahoma" w:cs="Tahoma"/>
          <w:bCs/>
          <w:color w:val="auto"/>
        </w:rPr>
        <w:t>:</w:t>
      </w:r>
      <w:r w:rsidR="0016372F">
        <w:rPr>
          <w:rFonts w:ascii="Tahoma" w:eastAsia="Times New Roman" w:hAnsi="Tahoma" w:cs="Tahoma"/>
          <w:bCs/>
          <w:color w:val="auto"/>
        </w:rPr>
        <w:t xml:space="preserve"> Ingresos –tributarios con un 16.04%, No tributarios 1.61%, Transferencias 19.52%, Fondos Especiales 52.31%, Fondo de Contingencias 0.39%, Recursos de Capital 2.05% y Sistema General de Regalías 8.08%.</w:t>
      </w:r>
      <w:r w:rsidR="004939F0">
        <w:rPr>
          <w:rFonts w:ascii="Tahoma" w:eastAsia="Times New Roman" w:hAnsi="Tahoma" w:cs="Tahoma"/>
          <w:bCs/>
          <w:color w:val="auto"/>
        </w:rPr>
        <w:t xml:space="preserve"> </w:t>
      </w:r>
      <w:r w:rsidR="00EF1F54">
        <w:rPr>
          <w:rFonts w:ascii="Tahoma" w:eastAsia="Times New Roman" w:hAnsi="Tahoma" w:cs="Tahoma"/>
          <w:bCs/>
          <w:color w:val="auto"/>
        </w:rPr>
        <w:t xml:space="preserve"> </w:t>
      </w:r>
    </w:p>
    <w:p w:rsidR="001C1EA3" w:rsidRDefault="00256F6A" w:rsidP="006F26B2">
      <w:pPr>
        <w:tabs>
          <w:tab w:val="left" w:pos="5667"/>
        </w:tabs>
        <w:spacing w:before="0" w:after="0" w:line="19" w:lineRule="atLeast"/>
        <w:jc w:val="both"/>
        <w:rPr>
          <w:rFonts w:ascii="Tahoma" w:hAnsi="Tahoma" w:cs="Tahoma"/>
          <w:noProof/>
          <w:color w:val="FF0000"/>
        </w:rPr>
      </w:pPr>
      <w:r>
        <w:rPr>
          <w:rFonts w:ascii="Tahoma" w:eastAsia="Times New Roman" w:hAnsi="Tahoma" w:cs="Tahoma"/>
          <w:bCs/>
          <w:color w:val="auto"/>
        </w:rPr>
        <w:t xml:space="preserve"> </w:t>
      </w:r>
      <w:r w:rsidR="001C1EA3">
        <w:rPr>
          <w:rFonts w:ascii="Tahoma" w:hAnsi="Tahoma" w:cs="Tahoma"/>
          <w:noProof/>
          <w:color w:val="FF0000"/>
        </w:rPr>
        <w:drawing>
          <wp:inline distT="0" distB="0" distL="0" distR="0" wp14:anchorId="061DACEA" wp14:editId="3B7F4009">
            <wp:extent cx="5486400" cy="4191000"/>
            <wp:effectExtent l="0" t="0" r="19050" b="1905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73CF" w:rsidRDefault="005073CF" w:rsidP="009848DF">
      <w:pPr>
        <w:tabs>
          <w:tab w:val="left" w:pos="2835"/>
        </w:tabs>
        <w:spacing w:before="0" w:after="0" w:line="19" w:lineRule="atLeast"/>
        <w:jc w:val="both"/>
        <w:rPr>
          <w:rFonts w:ascii="Tahoma" w:hAnsi="Tahoma" w:cs="Tahoma"/>
          <w:noProof/>
          <w:color w:val="auto"/>
        </w:rPr>
      </w:pP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8032B9" w:rsidRDefault="008032B9" w:rsidP="009848DF">
      <w:pPr>
        <w:tabs>
          <w:tab w:val="left" w:pos="2835"/>
        </w:tabs>
        <w:spacing w:before="0" w:after="0" w:line="19" w:lineRule="atLeast"/>
        <w:jc w:val="both"/>
        <w:rPr>
          <w:rFonts w:ascii="Tahoma" w:hAnsi="Tahoma" w:cs="Tahoma"/>
          <w:b/>
          <w:noProof/>
          <w:color w:val="auto"/>
        </w:rPr>
      </w:pPr>
    </w:p>
    <w:p w:rsidR="008032B9" w:rsidRDefault="008032B9" w:rsidP="008032B9">
      <w:pPr>
        <w:tabs>
          <w:tab w:val="left" w:pos="2835"/>
        </w:tabs>
        <w:spacing w:before="0" w:after="0" w:line="19" w:lineRule="atLeast"/>
        <w:jc w:val="both"/>
        <w:rPr>
          <w:rFonts w:ascii="Tahoma" w:hAnsi="Tahoma" w:cs="Tahoma"/>
          <w:noProof/>
          <w:color w:val="FF0000"/>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F41E22">
        <w:rPr>
          <w:rFonts w:ascii="Tahoma" w:hAnsi="Tahoma" w:cs="Tahoma"/>
          <w:color w:val="auto"/>
        </w:rPr>
        <w:t>San Sebastián de Mariquita</w:t>
      </w:r>
      <w:r w:rsidRPr="00836C5C">
        <w:rPr>
          <w:rFonts w:ascii="Tahoma" w:hAnsi="Tahoma" w:cs="Tahoma"/>
          <w:noProof/>
          <w:color w:val="auto"/>
        </w:rPr>
        <w:t xml:space="preserve"> a Diciembre 31 de 2015</w:t>
      </w:r>
      <w:r>
        <w:rPr>
          <w:rFonts w:ascii="Tahoma" w:hAnsi="Tahoma" w:cs="Tahoma"/>
          <w:noProof/>
          <w:color w:val="auto"/>
        </w:rPr>
        <w:t xml:space="preserve"> fue de $</w:t>
      </w:r>
      <w:r w:rsidR="00F41E22">
        <w:rPr>
          <w:rFonts w:ascii="Tahoma" w:hAnsi="Tahoma" w:cs="Tahoma"/>
          <w:noProof/>
          <w:color w:val="auto"/>
        </w:rPr>
        <w:t>39.070.906.428.oo</w:t>
      </w:r>
      <w:r>
        <w:rPr>
          <w:rFonts w:ascii="Tahoma" w:hAnsi="Tahoma" w:cs="Tahoma"/>
          <w:noProof/>
          <w:color w:val="auto"/>
        </w:rPr>
        <w:t xml:space="preserve">, de los cuales se recaudó la suma de </w:t>
      </w:r>
      <w:r w:rsidRPr="00767FB9">
        <w:rPr>
          <w:rFonts w:ascii="Tahoma" w:hAnsi="Tahoma" w:cs="Tahoma"/>
          <w:noProof/>
          <w:color w:val="auto"/>
        </w:rPr>
        <w:t>$</w:t>
      </w:r>
      <w:r w:rsidR="00F41E22">
        <w:rPr>
          <w:rFonts w:ascii="Tahoma" w:hAnsi="Tahoma" w:cs="Tahoma"/>
          <w:noProof/>
          <w:color w:val="auto"/>
        </w:rPr>
        <w:t xml:space="preserve">34.626.507.260.oo </w:t>
      </w:r>
      <w:r>
        <w:rPr>
          <w:rFonts w:ascii="Tahoma" w:hAnsi="Tahoma" w:cs="Tahoma"/>
          <w:noProof/>
          <w:color w:val="auto"/>
        </w:rPr>
        <w:t>equivalentes al 8</w:t>
      </w:r>
      <w:r w:rsidR="00F41E22">
        <w:rPr>
          <w:rFonts w:ascii="Tahoma" w:hAnsi="Tahoma" w:cs="Tahoma"/>
          <w:noProof/>
          <w:color w:val="auto"/>
        </w:rPr>
        <w:t>8.62</w:t>
      </w:r>
      <w:r>
        <w:rPr>
          <w:rFonts w:ascii="Tahoma" w:hAnsi="Tahoma" w:cs="Tahoma"/>
          <w:noProof/>
          <w:color w:val="auto"/>
        </w:rPr>
        <w:t xml:space="preserve">%.  De lo anterior se evidenció </w:t>
      </w:r>
      <w:r>
        <w:rPr>
          <w:rFonts w:ascii="Tahoma" w:hAnsi="Tahoma" w:cs="Tahoma"/>
        </w:rPr>
        <w:t xml:space="preserve">que el Municipio de </w:t>
      </w:r>
      <w:r w:rsidR="00F41E22" w:rsidRPr="00F41E22">
        <w:rPr>
          <w:rFonts w:ascii="Tahoma" w:hAnsi="Tahoma" w:cs="Tahoma"/>
        </w:rPr>
        <w:t>San Sebastián de Mariquita</w:t>
      </w:r>
      <w:r>
        <w:rPr>
          <w:rFonts w:ascii="Tahoma" w:hAnsi="Tahoma" w:cs="Tahoma"/>
        </w:rPr>
        <w:t xml:space="preserve"> no cumplió con la meta del Recaudo, toda vez que quedó pendiente por recaudar la suma de $</w:t>
      </w:r>
      <w:r w:rsidR="00F41E22">
        <w:rPr>
          <w:rFonts w:ascii="Tahoma" w:hAnsi="Tahoma" w:cs="Tahoma"/>
        </w:rPr>
        <w:t>4.444</w:t>
      </w:r>
      <w:r>
        <w:rPr>
          <w:rFonts w:ascii="Tahoma" w:hAnsi="Tahoma" w:cs="Tahoma"/>
        </w:rPr>
        <w:t xml:space="preserve"> millones, es decir el </w:t>
      </w:r>
      <w:r w:rsidR="00F50DE8">
        <w:rPr>
          <w:rFonts w:ascii="Tahoma" w:hAnsi="Tahoma" w:cs="Tahoma"/>
        </w:rPr>
        <w:t>1</w:t>
      </w:r>
      <w:r>
        <w:rPr>
          <w:rFonts w:ascii="Tahoma" w:hAnsi="Tahoma" w:cs="Tahoma"/>
        </w:rPr>
        <w:t>1</w:t>
      </w:r>
      <w:r w:rsidR="00F50DE8">
        <w:rPr>
          <w:rFonts w:ascii="Tahoma" w:hAnsi="Tahoma" w:cs="Tahoma"/>
        </w:rPr>
        <w:t>.38</w:t>
      </w:r>
      <w:r>
        <w:rPr>
          <w:rFonts w:ascii="Tahoma" w:hAnsi="Tahoma" w:cs="Tahoma"/>
        </w:rPr>
        <w:t xml:space="preserve">%, correspondientes al impuesto Predial, Avisos y Tableros, Multas, </w:t>
      </w:r>
      <w:r w:rsidR="00F50DE8">
        <w:rPr>
          <w:rFonts w:ascii="Tahoma" w:hAnsi="Tahoma" w:cs="Tahoma"/>
        </w:rPr>
        <w:t>Intereses moratorios y Transferencias</w:t>
      </w:r>
      <w:r>
        <w:rPr>
          <w:rFonts w:ascii="Tahoma" w:hAnsi="Tahoma" w:cs="Tahoma"/>
        </w:rPr>
        <w:t xml:space="preserve">, evidenciándose con ello la falta de gestión para el recaudo. </w:t>
      </w:r>
      <w:r w:rsidR="006120DA">
        <w:rPr>
          <w:rFonts w:ascii="Tahoma" w:hAnsi="Tahoma" w:cs="Tahoma"/>
        </w:rPr>
        <w:t xml:space="preserve"> Ver tabla.</w:t>
      </w:r>
    </w:p>
    <w:p w:rsidR="008032B9" w:rsidRDefault="008032B9" w:rsidP="009848DF">
      <w:pPr>
        <w:tabs>
          <w:tab w:val="left" w:pos="2835"/>
        </w:tabs>
        <w:spacing w:before="0" w:after="0" w:line="19" w:lineRule="atLeast"/>
        <w:jc w:val="both"/>
        <w:rPr>
          <w:rFonts w:ascii="Tahoma" w:hAnsi="Tahoma" w:cs="Tahoma"/>
          <w:b/>
          <w:noProof/>
          <w:color w:val="auto"/>
        </w:rPr>
      </w:pPr>
    </w:p>
    <w:p w:rsidR="00231ECA" w:rsidRPr="0054263E" w:rsidRDefault="00231ECA" w:rsidP="009848DF">
      <w:pPr>
        <w:tabs>
          <w:tab w:val="left" w:pos="2835"/>
        </w:tabs>
        <w:spacing w:before="0" w:after="0" w:line="19" w:lineRule="atLeast"/>
        <w:jc w:val="both"/>
        <w:rPr>
          <w:rFonts w:ascii="Tahoma" w:hAnsi="Tahoma" w:cs="Tahoma"/>
          <w:b/>
          <w:noProof/>
          <w:color w:val="auto"/>
        </w:rPr>
      </w:pPr>
    </w:p>
    <w:p w:rsidR="00915224" w:rsidRDefault="00915224" w:rsidP="009848DF">
      <w:pPr>
        <w:tabs>
          <w:tab w:val="left" w:pos="2835"/>
        </w:tabs>
        <w:spacing w:before="0" w:after="0" w:line="19" w:lineRule="atLeast"/>
        <w:jc w:val="both"/>
        <w:rPr>
          <w:rFonts w:ascii="Tahoma" w:hAnsi="Tahoma" w:cs="Tahoma"/>
          <w:noProof/>
          <w:color w:val="auto"/>
        </w:rPr>
      </w:pPr>
    </w:p>
    <w:p w:rsidR="00915224" w:rsidRDefault="008032B9" w:rsidP="009848DF">
      <w:pPr>
        <w:tabs>
          <w:tab w:val="left" w:pos="2835"/>
        </w:tabs>
        <w:spacing w:before="0" w:after="0" w:line="19" w:lineRule="atLeast"/>
        <w:jc w:val="both"/>
        <w:rPr>
          <w:rFonts w:ascii="Tahoma" w:hAnsi="Tahoma" w:cs="Tahoma"/>
          <w:noProof/>
          <w:color w:val="auto"/>
        </w:rPr>
      </w:pPr>
      <w:r w:rsidRPr="008032B9">
        <w:rPr>
          <w:noProof/>
        </w:rPr>
        <w:drawing>
          <wp:inline distT="0" distB="0" distL="0" distR="0" wp14:anchorId="1D07730F" wp14:editId="41D5BE59">
            <wp:extent cx="5613923" cy="2773680"/>
            <wp:effectExtent l="0" t="0" r="635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12130" cy="2772794"/>
                    </a:xfrm>
                    <a:prstGeom prst="rect">
                      <a:avLst/>
                    </a:prstGeom>
                  </pic:spPr>
                </pic:pic>
              </a:graphicData>
            </a:graphic>
          </wp:inline>
        </w:drawing>
      </w:r>
    </w:p>
    <w:p w:rsidR="00915224" w:rsidRDefault="00915224" w:rsidP="005073CF">
      <w:pPr>
        <w:tabs>
          <w:tab w:val="left" w:pos="2835"/>
        </w:tabs>
        <w:spacing w:before="0" w:after="0" w:line="19" w:lineRule="atLeast"/>
        <w:jc w:val="both"/>
        <w:rPr>
          <w:rFonts w:ascii="Tahoma" w:hAnsi="Tahoma" w:cs="Tahoma"/>
          <w:noProof/>
          <w:color w:val="auto"/>
        </w:rPr>
      </w:pPr>
    </w:p>
    <w:p w:rsidR="005073CF" w:rsidRDefault="005073CF" w:rsidP="00471A9A">
      <w:pPr>
        <w:tabs>
          <w:tab w:val="left" w:pos="3924"/>
        </w:tabs>
        <w:jc w:val="center"/>
        <w:rPr>
          <w:rFonts w:ascii="Tahoma" w:hAnsi="Tahoma" w:cs="Tahoma"/>
        </w:rPr>
      </w:pPr>
    </w:p>
    <w:p w:rsidR="00D27BCA" w:rsidRPr="00EE40F7" w:rsidRDefault="00EE40F7" w:rsidP="00EE40F7">
      <w:pPr>
        <w:pStyle w:val="Prrafodelista"/>
        <w:spacing w:before="0" w:after="0" w:line="19" w:lineRule="atLeast"/>
        <w:ind w:left="1080"/>
        <w:rPr>
          <w:rFonts w:ascii="Tahoma" w:hAnsi="Tahoma" w:cs="Tahoma"/>
          <w:b/>
        </w:rPr>
      </w:pPr>
      <w:r>
        <w:rPr>
          <w:rFonts w:ascii="Tahoma" w:hAnsi="Tahoma" w:cs="Tahoma"/>
          <w:b/>
        </w:rPr>
        <w:t xml:space="preserve">2.2   </w:t>
      </w:r>
      <w:r w:rsidR="00D27BCA" w:rsidRPr="00EE40F7">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682367" w:rsidRPr="00062C97" w:rsidRDefault="00682367" w:rsidP="00682367">
      <w:pPr>
        <w:tabs>
          <w:tab w:val="left" w:pos="2835"/>
        </w:tabs>
        <w:spacing w:before="0" w:after="0" w:line="19" w:lineRule="atLeast"/>
        <w:jc w:val="both"/>
        <w:rPr>
          <w:rFonts w:ascii="Tahoma" w:eastAsia="Times New Roman" w:hAnsi="Tahoma" w:cs="Tahoma"/>
          <w:bCs/>
          <w:color w:val="auto"/>
        </w:rPr>
      </w:pPr>
      <w:r w:rsidRPr="005540CE">
        <w:rPr>
          <w:rFonts w:ascii="Tahoma" w:hAnsi="Tahoma" w:cs="Tahoma"/>
        </w:rPr>
        <w:t xml:space="preserve">El presupuesto </w:t>
      </w:r>
      <w:r>
        <w:rPr>
          <w:rFonts w:ascii="Tahoma" w:hAnsi="Tahoma" w:cs="Tahoma"/>
        </w:rPr>
        <w:t xml:space="preserve">de </w:t>
      </w:r>
      <w:r w:rsidR="00950A8A">
        <w:rPr>
          <w:rFonts w:ascii="Tahoma" w:hAnsi="Tahoma" w:cs="Tahoma"/>
        </w:rPr>
        <w:t>Gastos</w:t>
      </w:r>
      <w:r>
        <w:rPr>
          <w:rFonts w:ascii="Tahoma" w:hAnsi="Tahoma" w:cs="Tahoma"/>
        </w:rPr>
        <w:t xml:space="preserve"> del Municipio de </w:t>
      </w:r>
      <w:r w:rsidR="006120DA">
        <w:rPr>
          <w:rFonts w:ascii="Tahoma" w:hAnsi="Tahoma" w:cs="Tahoma"/>
          <w:color w:val="auto"/>
        </w:rPr>
        <w:t>San Sebastián de Mariquita</w:t>
      </w:r>
      <w:r>
        <w:rPr>
          <w:rFonts w:ascii="Tahoma" w:hAnsi="Tahoma" w:cs="Tahoma"/>
        </w:rPr>
        <w:t xml:space="preserve"> para la vigencia fiscal 2015 fue aprobado en la cuantía </w:t>
      </w:r>
      <w:r w:rsidRPr="00E85A59">
        <w:rPr>
          <w:rFonts w:ascii="Tahoma" w:hAnsi="Tahoma" w:cs="Tahoma"/>
        </w:rPr>
        <w:t xml:space="preserve">de </w:t>
      </w:r>
      <w:r w:rsidRPr="00E85A59">
        <w:rPr>
          <w:rFonts w:ascii="Tahoma" w:hAnsi="Tahoma" w:cs="Tahoma"/>
          <w:b/>
          <w:color w:val="auto"/>
        </w:rPr>
        <w:t>$</w:t>
      </w:r>
      <w:r w:rsidR="00062C97">
        <w:rPr>
          <w:rFonts w:ascii="Tahoma" w:hAnsi="Tahoma" w:cs="Tahoma"/>
          <w:b/>
          <w:color w:val="auto"/>
        </w:rPr>
        <w:t>25.589.390.076.oo</w:t>
      </w:r>
      <w:r w:rsidRPr="00E85A59">
        <w:rPr>
          <w:rFonts w:ascii="Tahoma" w:hAnsi="Tahoma" w:cs="Tahoma"/>
          <w:b/>
          <w:color w:val="auto"/>
        </w:rPr>
        <w:t>,</w:t>
      </w:r>
      <w:r w:rsidR="00950A8A" w:rsidRPr="00E85A59">
        <w:rPr>
          <w:rFonts w:ascii="Tahoma" w:hAnsi="Tahoma" w:cs="Tahoma"/>
          <w:b/>
          <w:color w:val="auto"/>
        </w:rPr>
        <w:t xml:space="preserve"> </w:t>
      </w:r>
      <w:r w:rsidR="00950A8A" w:rsidRPr="00E85A59">
        <w:rPr>
          <w:rFonts w:ascii="Tahoma" w:hAnsi="Tahoma" w:cs="Tahoma"/>
          <w:color w:val="auto"/>
        </w:rPr>
        <w:t>presentó</w:t>
      </w:r>
      <w:r>
        <w:rPr>
          <w:rFonts w:ascii="Tahoma" w:hAnsi="Tahoma" w:cs="Tahoma"/>
          <w:b/>
          <w:color w:val="auto"/>
        </w:rPr>
        <w:t xml:space="preserve"> </w:t>
      </w:r>
      <w:r w:rsidRPr="00DA6502">
        <w:rPr>
          <w:rFonts w:ascii="Tahoma" w:hAnsi="Tahoma" w:cs="Tahoma"/>
          <w:color w:val="auto"/>
        </w:rPr>
        <w:t>adiciones</w:t>
      </w:r>
      <w:r>
        <w:rPr>
          <w:rFonts w:ascii="Tahoma" w:hAnsi="Tahoma" w:cs="Tahoma"/>
          <w:color w:val="auto"/>
        </w:rPr>
        <w:t xml:space="preserve"> presupuestales por</w:t>
      </w:r>
      <w:r w:rsidRPr="00DA6502">
        <w:rPr>
          <w:rFonts w:ascii="Tahoma" w:hAnsi="Tahoma" w:cs="Tahoma"/>
          <w:color w:val="auto"/>
        </w:rPr>
        <w:t xml:space="preserve"> $</w:t>
      </w:r>
      <w:r w:rsidR="00062C97">
        <w:rPr>
          <w:rFonts w:ascii="Tahoma" w:hAnsi="Tahoma" w:cs="Tahoma"/>
          <w:color w:val="auto"/>
        </w:rPr>
        <w:t>13.975.578.735</w:t>
      </w:r>
      <w:r>
        <w:rPr>
          <w:rFonts w:ascii="Tahoma" w:eastAsia="Times New Roman" w:hAnsi="Tahoma" w:cs="Tahoma"/>
          <w:bCs/>
          <w:color w:val="auto"/>
        </w:rPr>
        <w:t>.oo y reducciones por $</w:t>
      </w:r>
      <w:r w:rsidR="00062C97">
        <w:rPr>
          <w:rFonts w:ascii="Tahoma" w:eastAsia="Times New Roman" w:hAnsi="Tahoma" w:cs="Tahoma"/>
          <w:bCs/>
          <w:color w:val="auto"/>
        </w:rPr>
        <w:t>494.062.383</w:t>
      </w:r>
      <w:r>
        <w:rPr>
          <w:rFonts w:ascii="Tahoma" w:eastAsia="Times New Roman" w:hAnsi="Tahoma" w:cs="Tahoma"/>
          <w:bCs/>
          <w:color w:val="auto"/>
        </w:rPr>
        <w:t>.oo, para un presupuesto definitivo a Diciembre 31 de 2015 de $</w:t>
      </w:r>
      <w:r w:rsidR="00062C97">
        <w:rPr>
          <w:rFonts w:ascii="Tahoma" w:eastAsia="Times New Roman" w:hAnsi="Tahoma" w:cs="Tahoma"/>
          <w:bCs/>
          <w:color w:val="auto"/>
        </w:rPr>
        <w:t>39.070.906.428</w:t>
      </w:r>
      <w:r>
        <w:rPr>
          <w:rFonts w:ascii="Tahoma" w:eastAsia="Times New Roman" w:hAnsi="Tahoma" w:cs="Tahoma"/>
          <w:b/>
          <w:bCs/>
          <w:color w:val="auto"/>
        </w:rPr>
        <w:t>.</w:t>
      </w:r>
      <w:r w:rsidR="00062C97" w:rsidRPr="00062C97">
        <w:rPr>
          <w:rFonts w:ascii="Tahoma" w:eastAsia="Times New Roman" w:hAnsi="Tahoma" w:cs="Tahoma"/>
          <w:bCs/>
          <w:color w:val="auto"/>
        </w:rPr>
        <w:t>oo</w:t>
      </w:r>
    </w:p>
    <w:p w:rsidR="00231ECA" w:rsidRDefault="00231ECA" w:rsidP="00682367">
      <w:pPr>
        <w:tabs>
          <w:tab w:val="left" w:pos="2835"/>
        </w:tabs>
        <w:spacing w:before="0" w:after="0" w:line="19" w:lineRule="atLeast"/>
        <w:jc w:val="both"/>
        <w:rPr>
          <w:rFonts w:ascii="Tahoma" w:eastAsia="Times New Roman" w:hAnsi="Tahoma" w:cs="Tahoma"/>
          <w:b/>
          <w:bCs/>
          <w:color w:val="auto"/>
        </w:rPr>
      </w:pPr>
    </w:p>
    <w:p w:rsidR="00682367" w:rsidRDefault="00682367" w:rsidP="00682367">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268"/>
        <w:gridCol w:w="1843"/>
        <w:gridCol w:w="2570"/>
      </w:tblGrid>
      <w:tr w:rsidR="00062C97" w:rsidRPr="00BA1DE4" w:rsidTr="00797231">
        <w:trPr>
          <w:trHeight w:val="327"/>
        </w:trPr>
        <w:tc>
          <w:tcPr>
            <w:tcW w:w="2376"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843"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062C97" w:rsidRPr="00BA1DE4" w:rsidTr="00797231">
        <w:trPr>
          <w:trHeight w:val="551"/>
        </w:trPr>
        <w:tc>
          <w:tcPr>
            <w:tcW w:w="2376" w:type="dxa"/>
          </w:tcPr>
          <w:p w:rsidR="00062C97" w:rsidRPr="00B26183" w:rsidRDefault="00062C97" w:rsidP="00797231">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hAnsi="Tahoma" w:cs="Tahoma"/>
                <w:color w:val="auto"/>
                <w:sz w:val="20"/>
                <w:szCs w:val="20"/>
              </w:rPr>
              <w:t>$25.589.390.076.oo</w:t>
            </w:r>
          </w:p>
        </w:tc>
        <w:tc>
          <w:tcPr>
            <w:tcW w:w="2268" w:type="dxa"/>
          </w:tcPr>
          <w:p w:rsidR="00062C97" w:rsidRPr="00B26183" w:rsidRDefault="00062C97" w:rsidP="00797231">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hAnsi="Tahoma" w:cs="Tahoma"/>
                <w:color w:val="auto"/>
                <w:sz w:val="20"/>
                <w:szCs w:val="20"/>
              </w:rPr>
              <w:t>$13.975.578.735</w:t>
            </w:r>
            <w:r w:rsidRPr="00B26183">
              <w:rPr>
                <w:rFonts w:ascii="Tahoma" w:eastAsia="Times New Roman" w:hAnsi="Tahoma" w:cs="Tahoma"/>
                <w:bCs/>
                <w:color w:val="auto"/>
                <w:sz w:val="20"/>
                <w:szCs w:val="20"/>
              </w:rPr>
              <w:t>.oo</w:t>
            </w:r>
          </w:p>
        </w:tc>
        <w:tc>
          <w:tcPr>
            <w:tcW w:w="1843" w:type="dxa"/>
          </w:tcPr>
          <w:p w:rsidR="00062C97" w:rsidRPr="00B26183" w:rsidRDefault="00062C97" w:rsidP="00797231">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$494.062.383.oo</w:t>
            </w:r>
          </w:p>
        </w:tc>
        <w:tc>
          <w:tcPr>
            <w:tcW w:w="2570" w:type="dxa"/>
          </w:tcPr>
          <w:p w:rsidR="00062C97" w:rsidRPr="00B26183" w:rsidRDefault="00062C97" w:rsidP="00797231">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$39.070.906.428.oo</w:t>
            </w:r>
          </w:p>
        </w:tc>
      </w:tr>
    </w:tbl>
    <w:p w:rsidR="00682367" w:rsidRDefault="00682367" w:rsidP="00C142B1">
      <w:pPr>
        <w:spacing w:before="0" w:after="0"/>
        <w:jc w:val="both"/>
        <w:rPr>
          <w:rFonts w:ascii="Tahoma" w:hAnsi="Tahoma" w:cs="Tahoma"/>
          <w:szCs w:val="24"/>
        </w:rPr>
      </w:pPr>
    </w:p>
    <w:p w:rsidR="00231ECA" w:rsidRDefault="00231ECA" w:rsidP="00C142B1">
      <w:pPr>
        <w:spacing w:before="0" w:after="0"/>
        <w:jc w:val="both"/>
        <w:rPr>
          <w:rFonts w:ascii="Tahoma" w:hAnsi="Tahoma" w:cs="Tahoma"/>
          <w:szCs w:val="24"/>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 xml:space="preserve">El presupuesto de Gastos aprobado para la vigencia 2015 del Municipio  de </w:t>
      </w:r>
      <w:r w:rsidR="00062C97">
        <w:rPr>
          <w:rFonts w:ascii="Tahoma" w:hAnsi="Tahoma" w:cs="Tahoma"/>
          <w:color w:val="auto"/>
        </w:rPr>
        <w:t>San Sebastián de Mariquita</w:t>
      </w:r>
      <w:r w:rsidRPr="00C32B9A">
        <w:rPr>
          <w:rFonts w:ascii="Tahoma" w:hAnsi="Tahoma" w:cs="Tahoma"/>
          <w:color w:val="auto"/>
        </w:rPr>
        <w:t>, fue de $</w:t>
      </w:r>
      <w:r w:rsidR="00062C97">
        <w:rPr>
          <w:rFonts w:ascii="Tahoma" w:hAnsi="Tahoma" w:cs="Tahoma"/>
          <w:color w:val="auto"/>
        </w:rPr>
        <w:t>25.589</w:t>
      </w:r>
      <w:r w:rsidR="00881C9C">
        <w:rPr>
          <w:rFonts w:ascii="Tahoma" w:hAnsi="Tahoma" w:cs="Tahoma"/>
          <w:color w:val="auto"/>
        </w:rPr>
        <w:t xml:space="preserve"> millones</w:t>
      </w:r>
      <w:r w:rsidRPr="00C32B9A">
        <w:rPr>
          <w:rFonts w:ascii="Tahoma" w:hAnsi="Tahoma" w:cs="Tahoma"/>
          <w:color w:val="auto"/>
        </w:rPr>
        <w:t>, de los cuales $</w:t>
      </w:r>
      <w:r w:rsidR="00961788">
        <w:rPr>
          <w:rFonts w:ascii="Tahoma" w:hAnsi="Tahoma" w:cs="Tahoma"/>
          <w:color w:val="auto"/>
        </w:rPr>
        <w:t>4.371</w:t>
      </w:r>
      <w:r w:rsidR="00881C9C">
        <w:rPr>
          <w:rFonts w:ascii="Tahoma" w:hAnsi="Tahoma" w:cs="Tahoma"/>
          <w:color w:val="auto"/>
        </w:rPr>
        <w:t xml:space="preserve"> millones</w:t>
      </w:r>
      <w:r w:rsidRPr="00C32B9A">
        <w:rPr>
          <w:rFonts w:ascii="Tahoma" w:hAnsi="Tahoma" w:cs="Tahoma"/>
          <w:color w:val="auto"/>
        </w:rPr>
        <w:t xml:space="preserve"> correspondieron a </w:t>
      </w:r>
      <w:r w:rsidRPr="00C32B9A">
        <w:rPr>
          <w:rFonts w:ascii="Tahoma" w:hAnsi="Tahoma" w:cs="Tahoma"/>
          <w:color w:val="auto"/>
        </w:rPr>
        <w:lastRenderedPageBreak/>
        <w:t xml:space="preserve">Gastos de funcionamiento, es decir un </w:t>
      </w:r>
      <w:r w:rsidR="000344EC">
        <w:rPr>
          <w:rFonts w:ascii="Tahoma" w:hAnsi="Tahoma" w:cs="Tahoma"/>
          <w:color w:val="auto"/>
        </w:rPr>
        <w:t xml:space="preserve">17.08%, Deuda Pública $800 millones con un 3.13% </w:t>
      </w:r>
      <w:r w:rsidRPr="00C32B9A">
        <w:rPr>
          <w:rFonts w:ascii="Tahoma" w:hAnsi="Tahoma" w:cs="Tahoma"/>
          <w:color w:val="auto"/>
        </w:rPr>
        <w:t>y Gastos de Inversión</w:t>
      </w:r>
      <w:r w:rsidR="000344EC">
        <w:rPr>
          <w:rFonts w:ascii="Tahoma" w:hAnsi="Tahoma" w:cs="Tahoma"/>
          <w:color w:val="auto"/>
        </w:rPr>
        <w:t xml:space="preserve"> $20.417 millones</w:t>
      </w:r>
      <w:r w:rsidRPr="00C32B9A">
        <w:rPr>
          <w:rFonts w:ascii="Tahoma" w:hAnsi="Tahoma" w:cs="Tahoma"/>
          <w:color w:val="auto"/>
        </w:rPr>
        <w:t xml:space="preserve"> con un 7</w:t>
      </w:r>
      <w:r w:rsidR="000344EC">
        <w:rPr>
          <w:rFonts w:ascii="Tahoma" w:hAnsi="Tahoma" w:cs="Tahoma"/>
          <w:color w:val="auto"/>
        </w:rPr>
        <w:t>9.79</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drawing>
          <wp:inline distT="0" distB="0" distL="0" distR="0">
            <wp:extent cx="5486400" cy="2019300"/>
            <wp:effectExtent l="0" t="0" r="19050" b="1905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95DA7" w:rsidRPr="003539AE" w:rsidRDefault="00595DA7" w:rsidP="00595DA7">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3559D7">
        <w:rPr>
          <w:rFonts w:ascii="Tahoma" w:hAnsi="Tahoma" w:cs="Tahoma"/>
          <w:color w:val="auto"/>
        </w:rPr>
        <w:t>2.502</w:t>
      </w:r>
      <w:r w:rsidR="00881C9C">
        <w:rPr>
          <w:rFonts w:ascii="Tahoma" w:hAnsi="Tahoma" w:cs="Tahoma"/>
          <w:color w:val="auto"/>
        </w:rPr>
        <w:t xml:space="preserve"> millones</w:t>
      </w:r>
      <w:r w:rsidR="00815CEE">
        <w:rPr>
          <w:rFonts w:ascii="Tahoma" w:hAnsi="Tahoma" w:cs="Tahoma"/>
          <w:color w:val="auto"/>
        </w:rPr>
        <w:t xml:space="preserve">, es decir con un </w:t>
      </w:r>
      <w:r w:rsidR="003559D7">
        <w:rPr>
          <w:rFonts w:ascii="Tahoma" w:hAnsi="Tahoma" w:cs="Tahoma"/>
          <w:color w:val="auto"/>
        </w:rPr>
        <w:t>57.</w:t>
      </w:r>
      <w:r w:rsidR="003559D7" w:rsidRPr="003539AE">
        <w:rPr>
          <w:rFonts w:ascii="Tahoma" w:hAnsi="Tahoma" w:cs="Tahoma"/>
          <w:color w:val="auto"/>
        </w:rPr>
        <w:t>25</w:t>
      </w:r>
      <w:r w:rsidR="00815CEE" w:rsidRPr="003539AE">
        <w:rPr>
          <w:rFonts w:ascii="Tahoma" w:hAnsi="Tahoma" w:cs="Tahoma"/>
          <w:color w:val="auto"/>
        </w:rPr>
        <w:t>%</w:t>
      </w:r>
      <w:r w:rsidR="00BE515D">
        <w:rPr>
          <w:rFonts w:ascii="Tahoma" w:hAnsi="Tahoma" w:cs="Tahoma"/>
          <w:color w:val="auto"/>
        </w:rPr>
        <w:t>, Transferencias</w:t>
      </w:r>
      <w:r w:rsidR="00815CEE" w:rsidRPr="003539AE">
        <w:rPr>
          <w:rFonts w:ascii="Tahoma" w:hAnsi="Tahoma" w:cs="Tahoma"/>
          <w:color w:val="auto"/>
        </w:rPr>
        <w:t xml:space="preserve"> $</w:t>
      </w:r>
      <w:r w:rsidR="003559D7" w:rsidRPr="003539AE">
        <w:rPr>
          <w:rFonts w:ascii="Tahoma" w:hAnsi="Tahoma" w:cs="Tahoma"/>
          <w:color w:val="auto"/>
        </w:rPr>
        <w:t>623</w:t>
      </w:r>
      <w:r w:rsidR="00881C9C" w:rsidRPr="003539AE">
        <w:rPr>
          <w:rFonts w:ascii="Tahoma" w:hAnsi="Tahoma" w:cs="Tahoma"/>
          <w:color w:val="auto"/>
        </w:rPr>
        <w:t xml:space="preserve"> millones</w:t>
      </w:r>
      <w:r w:rsidR="00BE515D">
        <w:rPr>
          <w:rFonts w:ascii="Tahoma" w:hAnsi="Tahoma" w:cs="Tahoma"/>
          <w:color w:val="auto"/>
        </w:rPr>
        <w:t>,</w:t>
      </w:r>
      <w:r w:rsidR="00815CEE" w:rsidRPr="003539AE">
        <w:rPr>
          <w:rFonts w:ascii="Tahoma" w:hAnsi="Tahoma" w:cs="Tahoma"/>
          <w:color w:val="auto"/>
        </w:rPr>
        <w:t xml:space="preserve"> </w:t>
      </w:r>
      <w:r w:rsidR="00BE515D">
        <w:rPr>
          <w:rFonts w:ascii="Tahoma" w:hAnsi="Tahoma" w:cs="Tahoma"/>
          <w:color w:val="auto"/>
        </w:rPr>
        <w:t xml:space="preserve">con </w:t>
      </w:r>
      <w:r w:rsidR="00815CEE" w:rsidRPr="003539AE">
        <w:rPr>
          <w:rFonts w:ascii="Tahoma" w:hAnsi="Tahoma" w:cs="Tahoma"/>
          <w:color w:val="auto"/>
        </w:rPr>
        <w:t xml:space="preserve">un </w:t>
      </w:r>
      <w:r w:rsidR="003539AE" w:rsidRPr="003539AE">
        <w:rPr>
          <w:rFonts w:ascii="Tahoma" w:hAnsi="Tahoma" w:cs="Tahoma"/>
          <w:color w:val="auto"/>
        </w:rPr>
        <w:t>14</w:t>
      </w:r>
      <w:r w:rsidR="003559D7" w:rsidRPr="003539AE">
        <w:rPr>
          <w:rFonts w:ascii="Tahoma" w:hAnsi="Tahoma" w:cs="Tahoma"/>
          <w:color w:val="auto"/>
        </w:rPr>
        <w:t>.2</w:t>
      </w:r>
      <w:r w:rsidR="003539AE" w:rsidRPr="003539AE">
        <w:rPr>
          <w:rFonts w:ascii="Tahoma" w:hAnsi="Tahoma" w:cs="Tahoma"/>
          <w:color w:val="auto"/>
        </w:rPr>
        <w:t>5</w:t>
      </w:r>
      <w:r w:rsidR="003559D7" w:rsidRPr="003539AE">
        <w:rPr>
          <w:rFonts w:ascii="Tahoma" w:hAnsi="Tahoma" w:cs="Tahoma"/>
          <w:color w:val="auto"/>
        </w:rPr>
        <w:t>%,</w:t>
      </w:r>
      <w:r w:rsidR="00815CEE" w:rsidRPr="003539AE">
        <w:rPr>
          <w:rFonts w:ascii="Tahoma" w:hAnsi="Tahoma" w:cs="Tahoma"/>
          <w:color w:val="auto"/>
        </w:rPr>
        <w:t xml:space="preserve"> </w:t>
      </w:r>
      <w:r w:rsidR="005325B4" w:rsidRPr="003539AE">
        <w:rPr>
          <w:rFonts w:ascii="Tahoma" w:hAnsi="Tahoma" w:cs="Tahoma"/>
          <w:color w:val="auto"/>
        </w:rPr>
        <w:t xml:space="preserve"> Gastos Generales</w:t>
      </w:r>
      <w:r w:rsidR="00881C9C" w:rsidRPr="003539AE">
        <w:rPr>
          <w:rFonts w:ascii="Tahoma" w:hAnsi="Tahoma" w:cs="Tahoma"/>
          <w:color w:val="auto"/>
        </w:rPr>
        <w:t xml:space="preserve"> $</w:t>
      </w:r>
      <w:r w:rsidR="003559D7" w:rsidRPr="003539AE">
        <w:rPr>
          <w:rFonts w:ascii="Tahoma" w:hAnsi="Tahoma" w:cs="Tahoma"/>
          <w:color w:val="auto"/>
        </w:rPr>
        <w:t>841</w:t>
      </w:r>
      <w:r w:rsidR="00881C9C" w:rsidRPr="003539AE">
        <w:rPr>
          <w:rFonts w:ascii="Tahoma" w:hAnsi="Tahoma" w:cs="Tahoma"/>
          <w:color w:val="auto"/>
        </w:rPr>
        <w:t xml:space="preserve"> millones</w:t>
      </w:r>
      <w:r w:rsidR="00817D8E" w:rsidRPr="003539AE">
        <w:rPr>
          <w:rFonts w:ascii="Tahoma" w:hAnsi="Tahoma" w:cs="Tahoma"/>
          <w:color w:val="auto"/>
        </w:rPr>
        <w:t xml:space="preserve"> con un </w:t>
      </w:r>
      <w:r w:rsidR="003559D7" w:rsidRPr="003539AE">
        <w:rPr>
          <w:rFonts w:ascii="Tahoma" w:hAnsi="Tahoma" w:cs="Tahoma"/>
          <w:color w:val="auto"/>
        </w:rPr>
        <w:t>19.24</w:t>
      </w:r>
      <w:r w:rsidR="003539AE" w:rsidRPr="003539AE">
        <w:rPr>
          <w:rFonts w:ascii="Tahoma" w:hAnsi="Tahoma" w:cs="Tahoma"/>
          <w:color w:val="auto"/>
        </w:rPr>
        <w:t>%, Fondo de Contingencias $104 millones con un 2.38%, Gastos concejo Municipal $207 millones con un 4.76% y personería Municipal $92 millones con un 2.11%</w:t>
      </w:r>
      <w:r w:rsidR="003539AE">
        <w:rPr>
          <w:rFonts w:ascii="Tahoma" w:hAnsi="Tahoma" w:cs="Tahoma"/>
          <w:color w:val="auto"/>
        </w:rPr>
        <w:t>.</w:t>
      </w:r>
      <w:r w:rsidRPr="003539AE">
        <w:rPr>
          <w:rFonts w:ascii="Tahoma" w:hAnsi="Tahoma" w:cs="Tahoma"/>
          <w:color w:val="auto"/>
        </w:rPr>
        <w:tab/>
      </w:r>
    </w:p>
    <w:p w:rsidR="00595DA7" w:rsidRDefault="00595DA7" w:rsidP="00595DA7">
      <w:pPr>
        <w:spacing w:before="0" w:after="0"/>
        <w:jc w:val="both"/>
        <w:rPr>
          <w:rFonts w:ascii="Tahoma" w:hAnsi="Tahoma" w:cs="Tahoma"/>
          <w:color w:val="auto"/>
        </w:rPr>
      </w:pPr>
    </w:p>
    <w:p w:rsidR="00595DA7" w:rsidRDefault="00595DA7" w:rsidP="00595DA7">
      <w:pPr>
        <w:spacing w:before="0" w:after="0"/>
        <w:rPr>
          <w:rFonts w:ascii="Tahoma" w:hAnsi="Tahoma" w:cs="Tahoma"/>
          <w:color w:val="auto"/>
        </w:rPr>
      </w:pPr>
    </w:p>
    <w:p w:rsidR="00595DA7" w:rsidRDefault="00EF1F54" w:rsidP="001D6862">
      <w:pPr>
        <w:spacing w:before="0" w:after="0"/>
        <w:rPr>
          <w:rFonts w:ascii="Tahoma" w:hAnsi="Tahoma" w:cs="Tahoma"/>
          <w:b/>
          <w:szCs w:val="24"/>
        </w:rPr>
      </w:pPr>
      <w:r>
        <w:rPr>
          <w:rFonts w:ascii="Tahoma" w:hAnsi="Tahoma" w:cs="Tahoma"/>
          <w:noProof/>
          <w:color w:val="auto"/>
        </w:rPr>
        <w:lastRenderedPageBreak/>
        <w:drawing>
          <wp:inline distT="0" distB="0" distL="0" distR="0" wp14:anchorId="3CB68A0F" wp14:editId="41DB2496">
            <wp:extent cx="5486400" cy="2979420"/>
            <wp:effectExtent l="0" t="0" r="19050" b="1143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0FB7" w:rsidRDefault="00AA0FB7" w:rsidP="00595DA7">
      <w:pPr>
        <w:spacing w:before="0" w:after="0"/>
        <w:jc w:val="both"/>
        <w:rPr>
          <w:rFonts w:ascii="Tahoma" w:hAnsi="Tahoma" w:cs="Tahoma"/>
          <w:color w:val="auto"/>
        </w:rPr>
      </w:pPr>
    </w:p>
    <w:p w:rsidR="00595DA7" w:rsidRDefault="00595DA7" w:rsidP="00595DA7">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762EF0">
        <w:rPr>
          <w:rFonts w:ascii="Tahoma" w:hAnsi="Tahoma" w:cs="Tahoma"/>
          <w:color w:val="auto"/>
        </w:rPr>
        <w:t>Sector Salud 62.60</w:t>
      </w:r>
      <w:r w:rsidR="0084571C">
        <w:rPr>
          <w:rFonts w:ascii="Tahoma" w:hAnsi="Tahoma" w:cs="Tahoma"/>
          <w:color w:val="auto"/>
        </w:rPr>
        <w:t>%</w:t>
      </w:r>
      <w:r w:rsidR="00762EF0">
        <w:rPr>
          <w:rFonts w:ascii="Tahoma" w:hAnsi="Tahoma" w:cs="Tahoma"/>
          <w:color w:val="auto"/>
        </w:rPr>
        <w:t>, Sector Justicia 0.29</w:t>
      </w:r>
      <w:r w:rsidR="0084571C">
        <w:rPr>
          <w:rFonts w:ascii="Tahoma" w:hAnsi="Tahoma" w:cs="Tahoma"/>
          <w:color w:val="auto"/>
        </w:rPr>
        <w:t>%</w:t>
      </w:r>
      <w:r w:rsidR="00762EF0">
        <w:rPr>
          <w:rFonts w:ascii="Tahoma" w:hAnsi="Tahoma" w:cs="Tahoma"/>
          <w:color w:val="auto"/>
        </w:rPr>
        <w:t>, Sector Transporte 3.66</w:t>
      </w:r>
      <w:r w:rsidR="0084571C">
        <w:rPr>
          <w:rFonts w:ascii="Tahoma" w:hAnsi="Tahoma" w:cs="Tahoma"/>
          <w:color w:val="auto"/>
        </w:rPr>
        <w:t xml:space="preserve">%, Sector Educación 6.70%, Sector Medio Ambiente 0.48%, Sector Agropecuario 0.57%, Saneamiento Básico 5.15%, </w:t>
      </w:r>
      <w:r w:rsidR="0050051E">
        <w:rPr>
          <w:rFonts w:ascii="Tahoma" w:hAnsi="Tahoma" w:cs="Tahoma"/>
          <w:color w:val="auto"/>
        </w:rPr>
        <w:t>Sector vivienda 0.11</w:t>
      </w:r>
      <w:r w:rsidR="00726264">
        <w:rPr>
          <w:rFonts w:ascii="Tahoma" w:hAnsi="Tahoma" w:cs="Tahoma"/>
          <w:color w:val="auto"/>
        </w:rPr>
        <w:t xml:space="preserve">%, Sector comunitario 0.10%, Sector Art y cultura 0.41%, Sector Deporte 0.47% y otros Sectores 19.11%,  los </w:t>
      </w:r>
      <w:r w:rsidR="00513557">
        <w:rPr>
          <w:rFonts w:ascii="Tahoma" w:hAnsi="Tahoma" w:cs="Tahoma"/>
          <w:color w:val="auto"/>
        </w:rPr>
        <w:t xml:space="preserve">sectores donde más hubo inversión fueron los siguientes: </w:t>
      </w:r>
    </w:p>
    <w:p w:rsidR="001E2CF6" w:rsidRDefault="00595DA7" w:rsidP="00817D8E">
      <w:pPr>
        <w:tabs>
          <w:tab w:val="left" w:pos="4989"/>
          <w:tab w:val="left" w:pos="5901"/>
        </w:tabs>
        <w:spacing w:before="0" w:after="0"/>
        <w:jc w:val="both"/>
        <w:rPr>
          <w:rFonts w:ascii="Tahoma" w:hAnsi="Tahoma" w:cs="Tahoma"/>
          <w:b/>
          <w:szCs w:val="24"/>
        </w:rPr>
      </w:pPr>
      <w:r>
        <w:rPr>
          <w:rFonts w:ascii="Tahoma" w:hAnsi="Tahoma" w:cs="Tahoma"/>
          <w:color w:val="auto"/>
        </w:rPr>
        <w:tab/>
      </w:r>
    </w:p>
    <w:p w:rsidR="005325B4" w:rsidRDefault="00F86B59" w:rsidP="00815CEE">
      <w:pPr>
        <w:spacing w:before="0" w:after="0"/>
        <w:jc w:val="center"/>
        <w:rPr>
          <w:rFonts w:ascii="Tahoma" w:hAnsi="Tahoma" w:cs="Tahoma"/>
          <w:b/>
          <w:szCs w:val="24"/>
        </w:rPr>
      </w:pPr>
      <w:r w:rsidRPr="00F86B59">
        <w:rPr>
          <w:noProof/>
        </w:rPr>
        <w:lastRenderedPageBreak/>
        <w:drawing>
          <wp:inline distT="0" distB="0" distL="0" distR="0" wp14:anchorId="320B1856" wp14:editId="6EB164BF">
            <wp:extent cx="4061812" cy="2796783"/>
            <wp:effectExtent l="0" t="0" r="0" b="381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61812" cy="2796783"/>
                    </a:xfrm>
                    <a:prstGeom prst="rect">
                      <a:avLst/>
                    </a:prstGeom>
                  </pic:spPr>
                </pic:pic>
              </a:graphicData>
            </a:graphic>
          </wp:inline>
        </w:drawing>
      </w:r>
    </w:p>
    <w:p w:rsidR="00815CEE" w:rsidRDefault="00815CEE" w:rsidP="001D6862">
      <w:pPr>
        <w:spacing w:before="0" w:after="0"/>
        <w:rPr>
          <w:rFonts w:ascii="Tahoma" w:hAnsi="Tahoma" w:cs="Tahoma"/>
          <w:b/>
          <w:szCs w:val="24"/>
        </w:rPr>
      </w:pPr>
    </w:p>
    <w:p w:rsidR="00AC4815" w:rsidRDefault="00AC4815" w:rsidP="000C2D28">
      <w:pPr>
        <w:tabs>
          <w:tab w:val="left" w:pos="1000"/>
        </w:tabs>
        <w:spacing w:before="0" w:after="0"/>
        <w:jc w:val="both"/>
        <w:rPr>
          <w:rFonts w:ascii="Tahoma" w:hAnsi="Tahoma" w:cs="Tahoma"/>
          <w:b/>
          <w:szCs w:val="24"/>
        </w:rPr>
      </w:pPr>
      <w:r w:rsidRPr="00AC4815">
        <w:rPr>
          <w:rFonts w:ascii="Tahoma" w:hAnsi="Tahoma" w:cs="Tahoma"/>
          <w:color w:val="auto"/>
        </w:rPr>
        <w:t xml:space="preserve">De la ejecución presupuestal,  se pudo observar que la mayor inversión se destinó al sector Salud, con un </w:t>
      </w:r>
      <w:r w:rsidR="000C2D28">
        <w:rPr>
          <w:rFonts w:ascii="Tahoma" w:hAnsi="Tahoma" w:cs="Tahoma"/>
          <w:color w:val="auto"/>
        </w:rPr>
        <w:t>62.60</w:t>
      </w:r>
      <w:r w:rsidRPr="00AC4815">
        <w:rPr>
          <w:rFonts w:ascii="Tahoma" w:hAnsi="Tahoma" w:cs="Tahoma"/>
          <w:color w:val="auto"/>
        </w:rPr>
        <w:t>% equivalentes a $</w:t>
      </w:r>
      <w:r w:rsidR="000C2D28">
        <w:rPr>
          <w:rFonts w:ascii="Tahoma" w:hAnsi="Tahoma" w:cs="Tahoma"/>
          <w:color w:val="auto"/>
        </w:rPr>
        <w:t>12.782</w:t>
      </w:r>
      <w:r w:rsidR="00881C9C">
        <w:rPr>
          <w:rFonts w:ascii="Tahoma" w:eastAsia="Times New Roman" w:hAnsi="Tahoma" w:cs="Tahoma"/>
          <w:color w:val="auto"/>
        </w:rPr>
        <w:t xml:space="preserve"> millones</w:t>
      </w:r>
      <w:r w:rsidRPr="00AC4815">
        <w:rPr>
          <w:rFonts w:ascii="Tahoma" w:eastAsia="Times New Roman" w:hAnsi="Tahoma" w:cs="Tahoma"/>
          <w:color w:val="auto"/>
        </w:rPr>
        <w:t>, seguidos de</w:t>
      </w:r>
      <w:r w:rsidR="00817D8E">
        <w:rPr>
          <w:rFonts w:ascii="Tahoma" w:eastAsia="Times New Roman" w:hAnsi="Tahoma" w:cs="Tahoma"/>
          <w:color w:val="auto"/>
        </w:rPr>
        <w:t xml:space="preserve"> Otros </w:t>
      </w:r>
      <w:r w:rsidR="00817D8E" w:rsidRPr="00AC4815">
        <w:rPr>
          <w:rFonts w:ascii="Tahoma" w:eastAsia="Times New Roman" w:hAnsi="Tahoma" w:cs="Tahoma"/>
          <w:color w:val="auto"/>
        </w:rPr>
        <w:t>sectores</w:t>
      </w:r>
      <w:r w:rsidR="00817D8E">
        <w:rPr>
          <w:rFonts w:ascii="Tahoma" w:eastAsia="Times New Roman" w:hAnsi="Tahoma" w:cs="Tahoma"/>
          <w:color w:val="auto"/>
        </w:rPr>
        <w:t xml:space="preserve">, los cuales </w:t>
      </w:r>
      <w:r w:rsidR="00817D8E" w:rsidRPr="00AC4815">
        <w:rPr>
          <w:rFonts w:ascii="Tahoma" w:eastAsia="Times New Roman" w:hAnsi="Tahoma" w:cs="Tahoma"/>
          <w:color w:val="auto"/>
        </w:rPr>
        <w:t xml:space="preserve"> presentaron</w:t>
      </w:r>
      <w:r w:rsidR="00817D8E">
        <w:rPr>
          <w:rFonts w:ascii="Tahoma" w:eastAsia="Times New Roman" w:hAnsi="Tahoma" w:cs="Tahoma"/>
          <w:color w:val="auto"/>
        </w:rPr>
        <w:t xml:space="preserve"> una</w:t>
      </w:r>
      <w:r w:rsidR="00817D8E" w:rsidRPr="00AC4815">
        <w:rPr>
          <w:rFonts w:ascii="Tahoma" w:eastAsia="Times New Roman" w:hAnsi="Tahoma" w:cs="Tahoma"/>
          <w:color w:val="auto"/>
        </w:rPr>
        <w:t xml:space="preserve"> inversión </w:t>
      </w:r>
      <w:r w:rsidR="00817D8E">
        <w:rPr>
          <w:rFonts w:ascii="Tahoma" w:eastAsia="Times New Roman" w:hAnsi="Tahoma" w:cs="Tahoma"/>
          <w:color w:val="auto"/>
        </w:rPr>
        <w:t xml:space="preserve">del </w:t>
      </w:r>
      <w:r w:rsidR="000C2D28">
        <w:rPr>
          <w:rFonts w:ascii="Tahoma" w:eastAsia="Times New Roman" w:hAnsi="Tahoma" w:cs="Tahoma"/>
          <w:color w:val="auto"/>
        </w:rPr>
        <w:t>19.1</w:t>
      </w:r>
      <w:r w:rsidR="00B62473">
        <w:rPr>
          <w:rFonts w:ascii="Tahoma" w:eastAsia="Times New Roman" w:hAnsi="Tahoma" w:cs="Tahoma"/>
          <w:color w:val="auto"/>
        </w:rPr>
        <w:t>1</w:t>
      </w:r>
      <w:r w:rsidR="00817D8E">
        <w:rPr>
          <w:rFonts w:ascii="Tahoma" w:eastAsia="Times New Roman" w:hAnsi="Tahoma" w:cs="Tahoma"/>
          <w:color w:val="auto"/>
        </w:rPr>
        <w:t>%, equivalentes a  $</w:t>
      </w:r>
      <w:r w:rsidR="000C2D28">
        <w:rPr>
          <w:rFonts w:ascii="Tahoma" w:eastAsia="Times New Roman" w:hAnsi="Tahoma" w:cs="Tahoma"/>
          <w:color w:val="auto"/>
        </w:rPr>
        <w:t>3.902</w:t>
      </w:r>
      <w:r w:rsidR="00881C9C">
        <w:rPr>
          <w:rFonts w:ascii="Tahoma" w:eastAsia="Times New Roman" w:hAnsi="Tahoma" w:cs="Tahoma"/>
          <w:color w:val="auto"/>
        </w:rPr>
        <w:t xml:space="preserve"> millones</w:t>
      </w:r>
      <w:r w:rsidR="00817D8E">
        <w:rPr>
          <w:rFonts w:ascii="Tahoma" w:eastAsia="Times New Roman" w:hAnsi="Tahoma" w:cs="Tahoma"/>
          <w:color w:val="auto"/>
        </w:rPr>
        <w:t>; S</w:t>
      </w:r>
      <w:r w:rsidRPr="00AC4815">
        <w:rPr>
          <w:rFonts w:ascii="Tahoma" w:eastAsia="Times New Roman" w:hAnsi="Tahoma" w:cs="Tahoma"/>
          <w:color w:val="auto"/>
        </w:rPr>
        <w:t xml:space="preserve">ector Educación con un </w:t>
      </w:r>
      <w:r w:rsidR="000C2D28">
        <w:rPr>
          <w:rFonts w:ascii="Tahoma" w:eastAsia="Times New Roman" w:hAnsi="Tahoma" w:cs="Tahoma"/>
          <w:color w:val="auto"/>
        </w:rPr>
        <w:t>6.70</w:t>
      </w:r>
      <w:r w:rsidRPr="00AC4815">
        <w:rPr>
          <w:rFonts w:ascii="Tahoma" w:eastAsia="Times New Roman" w:hAnsi="Tahoma" w:cs="Tahoma"/>
          <w:color w:val="auto"/>
        </w:rPr>
        <w:t>%, equivalentes a $</w:t>
      </w:r>
      <w:r w:rsidR="000C2D28">
        <w:rPr>
          <w:rFonts w:ascii="Tahoma" w:eastAsia="Times New Roman" w:hAnsi="Tahoma" w:cs="Tahoma"/>
          <w:color w:val="auto"/>
        </w:rPr>
        <w:t>1.367</w:t>
      </w:r>
      <w:r w:rsidR="00881C9C">
        <w:rPr>
          <w:rFonts w:ascii="Tahoma" w:eastAsia="Times New Roman" w:hAnsi="Tahoma" w:cs="Tahoma"/>
          <w:color w:val="auto"/>
        </w:rPr>
        <w:t xml:space="preserve"> millones,</w:t>
      </w:r>
      <w:r w:rsidRPr="00AC4815">
        <w:rPr>
          <w:rFonts w:ascii="Tahoma" w:eastAsia="Times New Roman" w:hAnsi="Tahoma" w:cs="Tahoma"/>
          <w:color w:val="auto"/>
        </w:rPr>
        <w:t xml:space="preserve"> Saneamiento Básico con un </w:t>
      </w:r>
      <w:r w:rsidR="000C2D28">
        <w:rPr>
          <w:rFonts w:ascii="Tahoma" w:eastAsia="Times New Roman" w:hAnsi="Tahoma" w:cs="Tahoma"/>
          <w:color w:val="auto"/>
        </w:rPr>
        <w:t>5.15</w:t>
      </w:r>
      <w:r w:rsidRPr="00AC4815">
        <w:rPr>
          <w:rFonts w:ascii="Tahoma" w:eastAsia="Times New Roman" w:hAnsi="Tahoma" w:cs="Tahoma"/>
          <w:color w:val="auto"/>
        </w:rPr>
        <w:t>%, equivalentes a $</w:t>
      </w:r>
      <w:r w:rsidR="000C2D28">
        <w:rPr>
          <w:rFonts w:ascii="Tahoma" w:eastAsia="Times New Roman" w:hAnsi="Tahoma" w:cs="Tahoma"/>
          <w:color w:val="auto"/>
        </w:rPr>
        <w:t>1.051</w:t>
      </w:r>
      <w:r w:rsidR="00881C9C">
        <w:rPr>
          <w:rFonts w:ascii="Tahoma" w:eastAsia="Times New Roman" w:hAnsi="Tahoma" w:cs="Tahoma"/>
          <w:color w:val="auto"/>
        </w:rPr>
        <w:t xml:space="preserve"> millones</w:t>
      </w:r>
      <w:r w:rsidR="00B62473">
        <w:rPr>
          <w:rFonts w:ascii="Tahoma" w:eastAsia="Times New Roman" w:hAnsi="Tahoma" w:cs="Tahoma"/>
          <w:color w:val="auto"/>
        </w:rPr>
        <w:t xml:space="preserve"> y sector transporte con un 3.66%. </w:t>
      </w:r>
      <w:r w:rsidR="000F5879">
        <w:rPr>
          <w:rFonts w:ascii="Tahoma" w:hAnsi="Tahoma" w:cs="Tahoma"/>
          <w:b/>
          <w:szCs w:val="24"/>
        </w:rPr>
        <w:t xml:space="preserve"> </w:t>
      </w:r>
    </w:p>
    <w:p w:rsidR="00231ECA" w:rsidRDefault="00231ECA" w:rsidP="001D6862">
      <w:pPr>
        <w:spacing w:before="0" w:after="0"/>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de </w:t>
      </w:r>
      <w:r w:rsidR="00B62473">
        <w:rPr>
          <w:rFonts w:ascii="Tahoma" w:hAnsi="Tahoma" w:cs="Tahoma"/>
          <w:szCs w:val="24"/>
        </w:rPr>
        <w:t>San Sebastián de Mariquita</w:t>
      </w:r>
      <w:r>
        <w:rPr>
          <w:rFonts w:ascii="Tahoma" w:hAnsi="Tahoma" w:cs="Tahoma"/>
          <w:szCs w:val="24"/>
        </w:rPr>
        <w:t xml:space="preserve"> de </w:t>
      </w:r>
      <w:r w:rsidR="00595DA7">
        <w:rPr>
          <w:rFonts w:ascii="Tahoma" w:hAnsi="Tahoma" w:cs="Tahoma"/>
          <w:szCs w:val="24"/>
        </w:rPr>
        <w:t>la vigencia 2015, presentó Adiciones pres</w:t>
      </w:r>
      <w:r w:rsidR="00264A57">
        <w:rPr>
          <w:rFonts w:ascii="Tahoma" w:hAnsi="Tahoma" w:cs="Tahoma"/>
          <w:szCs w:val="24"/>
        </w:rPr>
        <w:t>upuestales en la suma de $</w:t>
      </w:r>
      <w:r w:rsidR="00B62473">
        <w:rPr>
          <w:rFonts w:ascii="Tahoma" w:hAnsi="Tahoma" w:cs="Tahoma"/>
          <w:szCs w:val="24"/>
        </w:rPr>
        <w:t>13.975</w:t>
      </w:r>
      <w:r w:rsidR="00264A57">
        <w:rPr>
          <w:rFonts w:ascii="Tahoma" w:hAnsi="Tahoma" w:cs="Tahoma"/>
          <w:szCs w:val="24"/>
        </w:rPr>
        <w:t xml:space="preserve"> millones</w:t>
      </w:r>
      <w:r w:rsidR="00595DA7">
        <w:rPr>
          <w:rFonts w:ascii="Tahoma" w:hAnsi="Tahoma" w:cs="Tahoma"/>
          <w:szCs w:val="24"/>
        </w:rPr>
        <w:t xml:space="preserve"> y reducciones en la suma de $</w:t>
      </w:r>
      <w:r w:rsidR="00B62473">
        <w:rPr>
          <w:rFonts w:ascii="Tahoma" w:hAnsi="Tahoma" w:cs="Tahoma"/>
          <w:szCs w:val="24"/>
        </w:rPr>
        <w:t>494</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B62473">
        <w:rPr>
          <w:rFonts w:ascii="Tahoma" w:hAnsi="Tahoma" w:cs="Tahoma"/>
          <w:szCs w:val="24"/>
        </w:rPr>
        <w:t>4.782</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B62473">
        <w:rPr>
          <w:rFonts w:ascii="Tahoma" w:hAnsi="Tahoma" w:cs="Tahoma"/>
          <w:szCs w:val="24"/>
        </w:rPr>
        <w:t>39.070</w:t>
      </w:r>
      <w:r w:rsidR="00264A57">
        <w:rPr>
          <w:rFonts w:ascii="Tahoma" w:hAnsi="Tahoma" w:cs="Tahoma"/>
          <w:szCs w:val="24"/>
        </w:rPr>
        <w:t xml:space="preserve"> millones.</w:t>
      </w:r>
    </w:p>
    <w:p w:rsidR="00264A57" w:rsidRDefault="00264A57" w:rsidP="00595DA7">
      <w:pPr>
        <w:tabs>
          <w:tab w:val="left" w:pos="5696"/>
        </w:tabs>
        <w:spacing w:before="0" w:after="0"/>
        <w:jc w:val="both"/>
        <w:rPr>
          <w:rFonts w:ascii="Tahoma" w:hAnsi="Tahoma" w:cs="Tahoma"/>
          <w:szCs w:val="24"/>
        </w:rPr>
      </w:pPr>
    </w:p>
    <w:p w:rsidR="00E324E3" w:rsidRDefault="00EF51FE" w:rsidP="00595DA7">
      <w:pPr>
        <w:tabs>
          <w:tab w:val="left" w:pos="5696"/>
        </w:tabs>
        <w:spacing w:before="0" w:after="0"/>
        <w:jc w:val="both"/>
        <w:rPr>
          <w:rFonts w:ascii="Tahoma" w:hAnsi="Tahoma" w:cs="Tahoma"/>
          <w:szCs w:val="24"/>
        </w:rPr>
      </w:pPr>
      <w:r>
        <w:rPr>
          <w:rFonts w:ascii="Tahoma" w:hAnsi="Tahoma" w:cs="Tahoma"/>
          <w:szCs w:val="24"/>
        </w:rPr>
        <w:t xml:space="preserve"> </w:t>
      </w: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256442">
        <w:rPr>
          <w:rFonts w:ascii="Tahoma" w:hAnsi="Tahoma" w:cs="Tahoma"/>
          <w:szCs w:val="24"/>
        </w:rPr>
        <w:t>34.12</w:t>
      </w:r>
      <w:r>
        <w:rPr>
          <w:rFonts w:ascii="Tahoma" w:hAnsi="Tahoma" w:cs="Tahoma"/>
          <w:szCs w:val="24"/>
        </w:rPr>
        <w:t>%, es decir la suma de $</w:t>
      </w:r>
      <w:r w:rsidR="00256442">
        <w:rPr>
          <w:rFonts w:ascii="Tahoma" w:hAnsi="Tahoma" w:cs="Tahoma"/>
          <w:szCs w:val="24"/>
        </w:rPr>
        <w:t>1.491</w:t>
      </w:r>
      <w:r w:rsidR="00264A57">
        <w:rPr>
          <w:rFonts w:ascii="Tahoma" w:hAnsi="Tahoma" w:cs="Tahoma"/>
          <w:szCs w:val="24"/>
        </w:rPr>
        <w:t xml:space="preserve"> millones</w:t>
      </w:r>
      <w:r>
        <w:rPr>
          <w:rFonts w:ascii="Tahoma" w:hAnsi="Tahoma" w:cs="Tahoma"/>
          <w:szCs w:val="24"/>
        </w:rPr>
        <w:t xml:space="preserve"> y los gastos de Inversión en un </w:t>
      </w:r>
      <w:r w:rsidR="00256442">
        <w:rPr>
          <w:rFonts w:ascii="Tahoma" w:hAnsi="Tahoma" w:cs="Tahoma"/>
          <w:szCs w:val="24"/>
        </w:rPr>
        <w:t>35.49</w:t>
      </w:r>
      <w:r>
        <w:rPr>
          <w:rFonts w:ascii="Tahoma" w:hAnsi="Tahoma" w:cs="Tahoma"/>
          <w:szCs w:val="24"/>
        </w:rPr>
        <w:t>%, equivalentes a $</w:t>
      </w:r>
      <w:r w:rsidR="00256442">
        <w:rPr>
          <w:rFonts w:ascii="Tahoma" w:hAnsi="Tahoma" w:cs="Tahoma"/>
          <w:szCs w:val="24"/>
        </w:rPr>
        <w:t>7.245</w:t>
      </w:r>
      <w:r w:rsidR="00264A57">
        <w:rPr>
          <w:rFonts w:ascii="Tahoma" w:hAnsi="Tahoma" w:cs="Tahoma"/>
          <w:szCs w:val="24"/>
        </w:rPr>
        <w:t xml:space="preserve"> 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E324E3" w:rsidRDefault="00E324E3" w:rsidP="00595DA7">
      <w:pPr>
        <w:tabs>
          <w:tab w:val="left" w:pos="5696"/>
        </w:tabs>
        <w:spacing w:before="0" w:after="0"/>
        <w:jc w:val="both"/>
        <w:rPr>
          <w:rFonts w:ascii="Tahoma" w:hAnsi="Tahoma" w:cs="Tahoma"/>
          <w:szCs w:val="24"/>
        </w:rPr>
      </w:pPr>
    </w:p>
    <w:p w:rsidR="008C2EA2" w:rsidRDefault="00396E50" w:rsidP="00595DA7">
      <w:pPr>
        <w:tabs>
          <w:tab w:val="left" w:pos="5696"/>
        </w:tabs>
        <w:spacing w:before="0" w:after="0"/>
        <w:jc w:val="both"/>
        <w:rPr>
          <w:rFonts w:ascii="Tahoma" w:hAnsi="Tahoma" w:cs="Tahoma"/>
          <w:szCs w:val="24"/>
        </w:rPr>
      </w:pPr>
      <w:r w:rsidRPr="00396E50">
        <w:rPr>
          <w:noProof/>
        </w:rPr>
        <w:lastRenderedPageBreak/>
        <w:drawing>
          <wp:inline distT="0" distB="0" distL="0" distR="0" wp14:anchorId="3A1F445B" wp14:editId="5C8E395D">
            <wp:extent cx="5615940" cy="838200"/>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12130" cy="837631"/>
                    </a:xfrm>
                    <a:prstGeom prst="rect">
                      <a:avLst/>
                    </a:prstGeom>
                  </pic:spPr>
                </pic:pic>
              </a:graphicData>
            </a:graphic>
          </wp:inline>
        </w:drawing>
      </w:r>
    </w:p>
    <w:p w:rsidR="00EF51FE" w:rsidRDefault="00EF51FE"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8C2EA2" w:rsidRDefault="008C2EA2" w:rsidP="00264A57">
      <w:pPr>
        <w:tabs>
          <w:tab w:val="left" w:pos="5696"/>
        </w:tabs>
        <w:spacing w:before="0" w:after="0"/>
        <w:jc w:val="center"/>
        <w:rPr>
          <w:rFonts w:ascii="Tahoma" w:hAnsi="Tahoma" w:cs="Tahoma"/>
          <w:szCs w:val="24"/>
        </w:rPr>
      </w:pPr>
      <w:r>
        <w:rPr>
          <w:rFonts w:ascii="Tahoma" w:hAnsi="Tahoma" w:cs="Tahoma"/>
          <w:noProof/>
          <w:szCs w:val="24"/>
        </w:rPr>
        <w:drawing>
          <wp:inline distT="0" distB="0" distL="0" distR="0">
            <wp:extent cx="5486400" cy="3200400"/>
            <wp:effectExtent l="0" t="0" r="19050" b="190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82549" w:rsidRDefault="00982549" w:rsidP="00595DA7">
      <w:pPr>
        <w:tabs>
          <w:tab w:val="left" w:pos="5696"/>
        </w:tabs>
        <w:spacing w:before="0" w:after="0"/>
        <w:jc w:val="both"/>
        <w:rPr>
          <w:rFonts w:ascii="Tahoma" w:hAnsi="Tahoma" w:cs="Tahoma"/>
          <w:szCs w:val="24"/>
        </w:rPr>
      </w:pPr>
    </w:p>
    <w:p w:rsidR="00231ECA" w:rsidRDefault="00231ECA" w:rsidP="001D6862">
      <w:pPr>
        <w:spacing w:before="0" w:after="0"/>
        <w:jc w:val="both"/>
        <w:rPr>
          <w:rFonts w:ascii="Tahoma" w:hAnsi="Tahoma" w:cs="Tahoma"/>
          <w:b/>
          <w:color w:val="auto"/>
          <w:szCs w:val="16"/>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AA5D20"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Pr>
          <w:rFonts w:ascii="Tahoma" w:hAnsi="Tahoma" w:cs="Tahoma"/>
          <w:color w:val="auto"/>
          <w:szCs w:val="16"/>
        </w:rPr>
        <w:t xml:space="preserve">: </w:t>
      </w:r>
      <w:r w:rsidR="005F11EA">
        <w:rPr>
          <w:rFonts w:ascii="Tahoma" w:hAnsi="Tahoma" w:cs="Tahoma"/>
          <w:color w:val="auto"/>
          <w:szCs w:val="16"/>
        </w:rPr>
        <w:t>Fondo</w:t>
      </w:r>
      <w:r w:rsidR="00396E50">
        <w:rPr>
          <w:rFonts w:ascii="Tahoma" w:hAnsi="Tahoma" w:cs="Tahoma"/>
          <w:color w:val="auto"/>
          <w:szCs w:val="16"/>
        </w:rPr>
        <w:t xml:space="preserve"> Local de Salud</w:t>
      </w:r>
      <w:r w:rsidR="005F11EA">
        <w:rPr>
          <w:rFonts w:ascii="Tahoma" w:hAnsi="Tahoma" w:cs="Tahoma"/>
          <w:color w:val="auto"/>
          <w:szCs w:val="16"/>
        </w:rPr>
        <w:t xml:space="preserve"> $</w:t>
      </w:r>
      <w:r w:rsidR="00396E50">
        <w:rPr>
          <w:rFonts w:ascii="Tahoma" w:hAnsi="Tahoma" w:cs="Tahoma"/>
          <w:color w:val="auto"/>
          <w:szCs w:val="16"/>
        </w:rPr>
        <w:t>2.095</w:t>
      </w:r>
      <w:r w:rsidR="00264A57">
        <w:rPr>
          <w:rFonts w:ascii="Tahoma" w:hAnsi="Tahoma" w:cs="Tahoma"/>
          <w:color w:val="auto"/>
          <w:szCs w:val="16"/>
        </w:rPr>
        <w:t xml:space="preserve"> millones</w:t>
      </w:r>
      <w:r w:rsidR="00396E50">
        <w:rPr>
          <w:rFonts w:ascii="Tahoma" w:hAnsi="Tahoma" w:cs="Tahoma"/>
          <w:color w:val="auto"/>
          <w:szCs w:val="16"/>
        </w:rPr>
        <w:t>, Fondo Local de seguridad</w:t>
      </w:r>
      <w:r w:rsidR="005F11EA">
        <w:rPr>
          <w:rFonts w:ascii="Tahoma" w:hAnsi="Tahoma" w:cs="Tahoma"/>
          <w:color w:val="auto"/>
          <w:szCs w:val="16"/>
        </w:rPr>
        <w:t xml:space="preserve"> </w:t>
      </w:r>
      <w:r w:rsidR="00396E50">
        <w:rPr>
          <w:rFonts w:ascii="Tahoma" w:hAnsi="Tahoma" w:cs="Tahoma"/>
          <w:color w:val="auto"/>
          <w:szCs w:val="16"/>
        </w:rPr>
        <w:t>$79 millones, Estampilla Pro Cultura $89 millones, Estampilla Pro Tercera Edad $577 millones, Transferencias de alumbrado público $</w:t>
      </w:r>
      <w:r w:rsidR="0026039E">
        <w:rPr>
          <w:rFonts w:ascii="Tahoma" w:hAnsi="Tahoma" w:cs="Tahoma"/>
          <w:color w:val="auto"/>
          <w:szCs w:val="16"/>
        </w:rPr>
        <w:t>486 millones, Otras Inversiones $2.998 millones, Sistema</w:t>
      </w:r>
      <w:r w:rsidR="00396E50">
        <w:rPr>
          <w:rFonts w:ascii="Tahoma" w:hAnsi="Tahoma" w:cs="Tahoma"/>
          <w:color w:val="auto"/>
          <w:szCs w:val="16"/>
        </w:rPr>
        <w:t xml:space="preserve"> </w:t>
      </w:r>
      <w:r w:rsidR="0026039E">
        <w:rPr>
          <w:rFonts w:ascii="Tahoma" w:hAnsi="Tahoma" w:cs="Tahoma"/>
          <w:color w:val="auto"/>
          <w:szCs w:val="16"/>
        </w:rPr>
        <w:t>General de participaciones $839 millones,</w:t>
      </w:r>
      <w:r w:rsidR="00B92753">
        <w:rPr>
          <w:rFonts w:ascii="Tahoma" w:hAnsi="Tahoma" w:cs="Tahoma"/>
          <w:color w:val="auto"/>
          <w:szCs w:val="16"/>
        </w:rPr>
        <w:t xml:space="preserve"> </w:t>
      </w:r>
      <w:r w:rsidR="0026039E">
        <w:rPr>
          <w:rFonts w:ascii="Tahoma" w:hAnsi="Tahoma" w:cs="Tahoma"/>
          <w:color w:val="auto"/>
          <w:szCs w:val="16"/>
        </w:rPr>
        <w:t>Inversiones Sistema General de Regalías $5.238 millones.</w:t>
      </w:r>
    </w:p>
    <w:p w:rsidR="004F38FE" w:rsidRDefault="004F38FE" w:rsidP="001D6862">
      <w:pPr>
        <w:spacing w:before="0" w:after="0"/>
        <w:jc w:val="both"/>
        <w:rPr>
          <w:rFonts w:ascii="Tahoma" w:hAnsi="Tahoma" w:cs="Tahoma"/>
          <w:color w:val="auto"/>
          <w:szCs w:val="16"/>
        </w:rPr>
      </w:pPr>
    </w:p>
    <w:p w:rsidR="00865411" w:rsidRDefault="00865411" w:rsidP="001D6862">
      <w:pPr>
        <w:spacing w:before="0" w:after="0"/>
        <w:jc w:val="both"/>
        <w:rPr>
          <w:rFonts w:ascii="Tahoma" w:hAnsi="Tahoma" w:cs="Tahoma"/>
          <w:color w:val="auto"/>
          <w:szCs w:val="16"/>
        </w:rPr>
      </w:pPr>
    </w:p>
    <w:p w:rsidR="000367BB" w:rsidRDefault="00B92753" w:rsidP="00B92753">
      <w:pPr>
        <w:spacing w:before="0" w:after="0"/>
        <w:jc w:val="center"/>
        <w:rPr>
          <w:rFonts w:ascii="Tahoma" w:hAnsi="Tahoma" w:cs="Tahoma"/>
          <w:color w:val="auto"/>
          <w:szCs w:val="16"/>
        </w:rPr>
      </w:pPr>
      <w:r>
        <w:rPr>
          <w:noProof/>
        </w:rPr>
        <w:lastRenderedPageBreak/>
        <w:drawing>
          <wp:inline distT="0" distB="0" distL="0" distR="0" wp14:anchorId="44408559" wp14:editId="4931966F">
            <wp:extent cx="5196840" cy="2743200"/>
            <wp:effectExtent l="0" t="0" r="22860" b="1905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367BB" w:rsidRDefault="000367BB" w:rsidP="00A44621">
      <w:pPr>
        <w:spacing w:before="0" w:after="0"/>
        <w:jc w:val="center"/>
        <w:rPr>
          <w:rFonts w:ascii="Tahoma" w:hAnsi="Tahoma" w:cs="Tahoma"/>
          <w:color w:val="auto"/>
          <w:szCs w:val="16"/>
        </w:rPr>
      </w:pPr>
    </w:p>
    <w:p w:rsidR="004F38FE" w:rsidRDefault="004F38FE" w:rsidP="001D6862">
      <w:pPr>
        <w:spacing w:before="0" w:after="0"/>
        <w:rPr>
          <w:rFonts w:ascii="Tahoma" w:hAnsi="Tahoma" w:cs="Tahoma"/>
          <w:b/>
          <w:szCs w:val="24"/>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B92753">
        <w:rPr>
          <w:rFonts w:ascii="Tahoma" w:hAnsi="Tahoma" w:cs="Tahoma"/>
          <w:szCs w:val="24"/>
        </w:rPr>
        <w:t>San Sebastián de Mariquita</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B92753">
        <w:rPr>
          <w:rFonts w:ascii="Tahoma" w:hAnsi="Tahoma" w:cs="Tahoma"/>
          <w:color w:val="auto"/>
        </w:rPr>
        <w:t>34.092</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B92753">
        <w:rPr>
          <w:rFonts w:ascii="Tahoma" w:hAnsi="Tahoma" w:cs="Tahoma"/>
          <w:bCs/>
          <w:color w:val="auto"/>
        </w:rPr>
        <w:t>5.</w:t>
      </w:r>
      <w:r w:rsidR="00674492">
        <w:rPr>
          <w:rFonts w:ascii="Tahoma" w:hAnsi="Tahoma" w:cs="Tahoma"/>
          <w:bCs/>
          <w:color w:val="auto"/>
        </w:rPr>
        <w:t>826</w:t>
      </w:r>
      <w:r w:rsidR="00264A57">
        <w:rPr>
          <w:rFonts w:ascii="Tahoma" w:hAnsi="Tahoma" w:cs="Tahoma"/>
          <w:bCs/>
          <w:color w:val="auto"/>
        </w:rPr>
        <w:t xml:space="preserve"> millones</w:t>
      </w:r>
      <w:r w:rsidRPr="00B65E8C">
        <w:rPr>
          <w:rFonts w:ascii="Tahoma" w:hAnsi="Tahoma" w:cs="Tahoma"/>
          <w:bCs/>
          <w:color w:val="auto"/>
        </w:rPr>
        <w:t xml:space="preserve"> equivalentes al </w:t>
      </w:r>
      <w:r w:rsidR="00674492">
        <w:rPr>
          <w:rFonts w:ascii="Tahoma" w:hAnsi="Tahoma" w:cs="Tahoma"/>
          <w:bCs/>
          <w:color w:val="auto"/>
        </w:rPr>
        <w:t>17.09</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4A7153">
        <w:rPr>
          <w:rFonts w:ascii="Tahoma" w:hAnsi="Tahoma" w:cs="Tahoma"/>
          <w:bCs/>
          <w:color w:val="auto"/>
        </w:rPr>
        <w:t>24.701</w:t>
      </w:r>
      <w:r w:rsidR="00264A57">
        <w:rPr>
          <w:rFonts w:ascii="Tahoma" w:hAnsi="Tahoma" w:cs="Tahoma"/>
          <w:bCs/>
          <w:color w:val="auto"/>
        </w:rPr>
        <w:t xml:space="preserve"> millones</w:t>
      </w:r>
      <w:r w:rsidR="006E5817">
        <w:rPr>
          <w:rFonts w:ascii="Tahoma" w:hAnsi="Tahoma" w:cs="Tahoma"/>
          <w:bCs/>
          <w:color w:val="auto"/>
        </w:rPr>
        <w:t xml:space="preserve"> equivalentes al </w:t>
      </w:r>
      <w:r w:rsidR="004A7153">
        <w:rPr>
          <w:rFonts w:ascii="Tahoma" w:hAnsi="Tahoma" w:cs="Tahoma"/>
          <w:bCs/>
          <w:color w:val="auto"/>
        </w:rPr>
        <w:t>72.45</w:t>
      </w:r>
      <w:r w:rsidR="00C01693">
        <w:rPr>
          <w:rFonts w:ascii="Tahoma" w:hAnsi="Tahoma" w:cs="Tahoma"/>
          <w:bCs/>
          <w:color w:val="auto"/>
        </w:rPr>
        <w:t xml:space="preserve">%.  </w:t>
      </w:r>
      <w:r w:rsidR="004F38FE">
        <w:rPr>
          <w:rFonts w:ascii="Tahoma" w:hAnsi="Tahoma" w:cs="Tahoma"/>
          <w:bCs/>
          <w:color w:val="auto"/>
        </w:rPr>
        <w:t>ver tabla.</w:t>
      </w:r>
    </w:p>
    <w:p w:rsidR="004F38FE" w:rsidRDefault="004F38FE" w:rsidP="00C01693">
      <w:pPr>
        <w:spacing w:before="0" w:after="0"/>
        <w:jc w:val="both"/>
        <w:rPr>
          <w:rFonts w:ascii="Tahoma" w:hAnsi="Tahoma" w:cs="Tahoma"/>
          <w:bCs/>
          <w:color w:val="auto"/>
        </w:rPr>
      </w:pPr>
    </w:p>
    <w:p w:rsidR="004F38FE" w:rsidRDefault="004F38FE" w:rsidP="00C01693">
      <w:pPr>
        <w:spacing w:before="0" w:after="0"/>
        <w:jc w:val="both"/>
        <w:rPr>
          <w:rFonts w:ascii="Tahoma" w:hAnsi="Tahoma" w:cs="Tahoma"/>
          <w:bCs/>
          <w:color w:val="auto"/>
        </w:rPr>
      </w:pPr>
      <w:r w:rsidRPr="004F38FE">
        <w:rPr>
          <w:noProof/>
        </w:rPr>
        <w:lastRenderedPageBreak/>
        <w:drawing>
          <wp:inline distT="0" distB="0" distL="0" distR="0" wp14:anchorId="77A6B30A" wp14:editId="512F6E7C">
            <wp:extent cx="5471160" cy="64084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71635" cy="6408977"/>
                    </a:xfrm>
                    <a:prstGeom prst="rect">
                      <a:avLst/>
                    </a:prstGeom>
                  </pic:spPr>
                </pic:pic>
              </a:graphicData>
            </a:graphic>
          </wp:inline>
        </w:drawing>
      </w:r>
    </w:p>
    <w:p w:rsidR="00C01693" w:rsidRPr="00565F73" w:rsidRDefault="00C01693" w:rsidP="00C01693">
      <w:pPr>
        <w:spacing w:before="0" w:after="0"/>
        <w:jc w:val="both"/>
        <w:rPr>
          <w:rFonts w:ascii="Tahoma" w:hAnsi="Tahoma" w:cs="Tahoma"/>
          <w:bCs/>
          <w:color w:val="auto"/>
          <w:sz w:val="14"/>
        </w:rPr>
      </w:pPr>
    </w:p>
    <w:p w:rsidR="005D655F" w:rsidRDefault="005D655F" w:rsidP="001D6862">
      <w:pPr>
        <w:spacing w:before="0" w:after="0"/>
        <w:jc w:val="both"/>
        <w:rPr>
          <w:rFonts w:ascii="Tahoma" w:hAnsi="Tahoma" w:cs="Tahoma"/>
          <w:bCs/>
          <w:color w:val="auto"/>
        </w:rPr>
      </w:pPr>
    </w:p>
    <w:p w:rsidR="00231ECA" w:rsidRDefault="00231ECA" w:rsidP="001D6862">
      <w:pPr>
        <w:spacing w:before="0" w:after="0"/>
        <w:jc w:val="both"/>
        <w:rPr>
          <w:rFonts w:ascii="Tahoma" w:hAnsi="Tahoma" w:cs="Tahoma"/>
          <w:b/>
          <w:bCs/>
          <w:color w:val="auto"/>
        </w:rPr>
      </w:pPr>
    </w:p>
    <w:p w:rsidR="00040B1A" w:rsidRPr="00E71D96" w:rsidRDefault="00454315" w:rsidP="001D6862">
      <w:pPr>
        <w:spacing w:before="0" w:after="0"/>
        <w:jc w:val="both"/>
        <w:rPr>
          <w:rFonts w:ascii="Tahoma" w:hAnsi="Tahoma" w:cs="Tahoma"/>
          <w:b/>
          <w:bCs/>
          <w:color w:val="auto"/>
        </w:rPr>
      </w:pPr>
      <w:r w:rsidRPr="00E71D96">
        <w:rPr>
          <w:rFonts w:ascii="Tahoma" w:hAnsi="Tahoma" w:cs="Tahoma"/>
          <w:b/>
          <w:bCs/>
          <w:color w:val="auto"/>
        </w:rPr>
        <w:t xml:space="preserve">COMPARATIVO DE </w:t>
      </w:r>
      <w:r w:rsidR="00926286">
        <w:rPr>
          <w:rFonts w:ascii="Tahoma" w:hAnsi="Tahoma" w:cs="Tahoma"/>
          <w:b/>
          <w:bCs/>
          <w:color w:val="auto"/>
        </w:rPr>
        <w:t>G</w:t>
      </w:r>
      <w:r w:rsidR="00F5220F">
        <w:rPr>
          <w:rFonts w:ascii="Tahoma" w:hAnsi="Tahoma" w:cs="Tahoma"/>
          <w:b/>
          <w:bCs/>
          <w:color w:val="auto"/>
        </w:rPr>
        <w:t>A</w:t>
      </w:r>
      <w:r w:rsidR="00926286">
        <w:rPr>
          <w:rFonts w:ascii="Tahoma" w:hAnsi="Tahoma" w:cs="Tahoma"/>
          <w:b/>
          <w:bCs/>
          <w:color w:val="auto"/>
        </w:rPr>
        <w:t>STOS COMPROMETIDOS</w:t>
      </w:r>
      <w:r w:rsidRPr="00E71D96">
        <w:rPr>
          <w:rFonts w:ascii="Tahoma" w:hAnsi="Tahoma" w:cs="Tahoma"/>
          <w:b/>
          <w:bCs/>
          <w:color w:val="auto"/>
        </w:rPr>
        <w:t xml:space="preserve"> 2014 – 2015</w:t>
      </w:r>
    </w:p>
    <w:p w:rsidR="00454315" w:rsidRDefault="00454315" w:rsidP="001D6862">
      <w:pPr>
        <w:spacing w:before="0" w:after="0"/>
        <w:jc w:val="both"/>
        <w:rPr>
          <w:rFonts w:ascii="Tahoma" w:hAnsi="Tahoma" w:cs="Tahoma"/>
          <w:bCs/>
          <w:color w:val="auto"/>
        </w:rPr>
      </w:pPr>
    </w:p>
    <w:p w:rsidR="00454315" w:rsidRDefault="00E37D46" w:rsidP="001D6862">
      <w:pPr>
        <w:spacing w:before="0" w:after="0"/>
        <w:jc w:val="both"/>
        <w:rPr>
          <w:rFonts w:ascii="Tahoma" w:hAnsi="Tahoma" w:cs="Tahoma"/>
          <w:bCs/>
          <w:color w:val="auto"/>
        </w:rPr>
      </w:pPr>
      <w:r w:rsidRPr="00E37D46">
        <w:rPr>
          <w:noProof/>
        </w:rPr>
        <w:drawing>
          <wp:inline distT="0" distB="0" distL="0" distR="0" wp14:anchorId="386433F1" wp14:editId="7729776B">
            <wp:extent cx="5737860" cy="168402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51141" cy="1687918"/>
                    </a:xfrm>
                    <a:prstGeom prst="rect">
                      <a:avLst/>
                    </a:prstGeom>
                  </pic:spPr>
                </pic:pic>
              </a:graphicData>
            </a:graphic>
          </wp:inline>
        </w:drawing>
      </w:r>
    </w:p>
    <w:p w:rsidR="0014403D" w:rsidRDefault="0014403D" w:rsidP="001D6862">
      <w:pPr>
        <w:spacing w:before="0" w:after="0"/>
        <w:jc w:val="both"/>
        <w:rPr>
          <w:rFonts w:ascii="Tahoma" w:hAnsi="Tahoma" w:cs="Tahoma"/>
          <w:bCs/>
          <w:color w:val="auto"/>
        </w:rPr>
      </w:pPr>
    </w:p>
    <w:p w:rsidR="00D76FA2" w:rsidRDefault="00D76FA2" w:rsidP="001D6862">
      <w:pPr>
        <w:spacing w:before="0" w:after="0"/>
        <w:jc w:val="both"/>
        <w:rPr>
          <w:rFonts w:ascii="Tahoma" w:hAnsi="Tahoma" w:cs="Tahoma"/>
          <w:bCs/>
          <w:color w:val="auto"/>
        </w:rPr>
      </w:pPr>
      <w:r>
        <w:rPr>
          <w:rFonts w:ascii="Tahoma" w:hAnsi="Tahoma" w:cs="Tahoma"/>
          <w:bCs/>
          <w:color w:val="auto"/>
        </w:rPr>
        <w:t xml:space="preserve">De lo anterior se pudo observar que </w:t>
      </w:r>
      <w:r w:rsidR="007E35B4">
        <w:rPr>
          <w:rFonts w:ascii="Tahoma" w:hAnsi="Tahoma" w:cs="Tahoma"/>
          <w:bCs/>
          <w:color w:val="auto"/>
        </w:rPr>
        <w:t>la ejecución del presupuesto de la vigencia 2015</w:t>
      </w:r>
      <w:r w:rsidR="00E15E67">
        <w:rPr>
          <w:rFonts w:ascii="Tahoma" w:hAnsi="Tahoma" w:cs="Tahoma"/>
          <w:bCs/>
          <w:color w:val="auto"/>
        </w:rPr>
        <w:t xml:space="preserve"> tuvo un crecimiento del </w:t>
      </w:r>
      <w:r w:rsidR="00707F65">
        <w:rPr>
          <w:rFonts w:ascii="Tahoma" w:hAnsi="Tahoma" w:cs="Tahoma"/>
          <w:bCs/>
          <w:color w:val="auto"/>
        </w:rPr>
        <w:t>6.94</w:t>
      </w:r>
      <w:r w:rsidR="009B4265">
        <w:rPr>
          <w:rFonts w:ascii="Tahoma" w:hAnsi="Tahoma" w:cs="Tahoma"/>
          <w:bCs/>
          <w:color w:val="auto"/>
        </w:rPr>
        <w:t>%</w:t>
      </w:r>
      <w:r w:rsidR="00E15E67">
        <w:rPr>
          <w:rFonts w:ascii="Tahoma" w:hAnsi="Tahoma" w:cs="Tahoma"/>
          <w:bCs/>
          <w:color w:val="auto"/>
        </w:rPr>
        <w:t xml:space="preserve"> con relación al año anterior, siendo más </w:t>
      </w:r>
      <w:r w:rsidR="00C72CA5">
        <w:rPr>
          <w:rFonts w:ascii="Tahoma" w:hAnsi="Tahoma" w:cs="Tahoma"/>
          <w:bCs/>
          <w:color w:val="auto"/>
        </w:rPr>
        <w:t xml:space="preserve">representativo el incremento en las Transferencias Corrientes con el 48.03%, </w:t>
      </w:r>
      <w:r w:rsidR="000229B5">
        <w:rPr>
          <w:rFonts w:ascii="Tahoma" w:hAnsi="Tahoma" w:cs="Tahoma"/>
          <w:bCs/>
          <w:color w:val="auto"/>
        </w:rPr>
        <w:t xml:space="preserve">los </w:t>
      </w:r>
      <w:r w:rsidR="009B4265">
        <w:rPr>
          <w:rFonts w:ascii="Tahoma" w:hAnsi="Tahoma" w:cs="Tahoma"/>
          <w:bCs/>
          <w:color w:val="auto"/>
        </w:rPr>
        <w:t xml:space="preserve">Gastos </w:t>
      </w:r>
      <w:r w:rsidR="00707F65">
        <w:rPr>
          <w:rFonts w:ascii="Tahoma" w:hAnsi="Tahoma" w:cs="Tahoma"/>
          <w:bCs/>
          <w:color w:val="auto"/>
        </w:rPr>
        <w:t>de Personal</w:t>
      </w:r>
      <w:r w:rsidR="009B4265">
        <w:rPr>
          <w:rFonts w:ascii="Tahoma" w:hAnsi="Tahoma" w:cs="Tahoma"/>
          <w:bCs/>
          <w:color w:val="auto"/>
        </w:rPr>
        <w:t xml:space="preserve"> en un </w:t>
      </w:r>
      <w:r w:rsidR="00707F65">
        <w:rPr>
          <w:rFonts w:ascii="Tahoma" w:hAnsi="Tahoma" w:cs="Tahoma"/>
          <w:bCs/>
          <w:color w:val="auto"/>
        </w:rPr>
        <w:t>17.96</w:t>
      </w:r>
      <w:r w:rsidR="009B4265">
        <w:rPr>
          <w:rFonts w:ascii="Tahoma" w:hAnsi="Tahoma" w:cs="Tahoma"/>
          <w:bCs/>
          <w:color w:val="auto"/>
        </w:rPr>
        <w:t xml:space="preserve">% y los Gastos de Inversión </w:t>
      </w:r>
      <w:r w:rsidR="00337AB0">
        <w:rPr>
          <w:rFonts w:ascii="Tahoma" w:hAnsi="Tahoma" w:cs="Tahoma"/>
          <w:bCs/>
          <w:color w:val="auto"/>
        </w:rPr>
        <w:t xml:space="preserve">con el </w:t>
      </w:r>
      <w:r w:rsidR="009B4265">
        <w:rPr>
          <w:rFonts w:ascii="Tahoma" w:hAnsi="Tahoma" w:cs="Tahoma"/>
          <w:bCs/>
          <w:color w:val="auto"/>
        </w:rPr>
        <w:t xml:space="preserve"> </w:t>
      </w:r>
      <w:r w:rsidR="00C72CA5">
        <w:rPr>
          <w:rFonts w:ascii="Tahoma" w:hAnsi="Tahoma" w:cs="Tahoma"/>
          <w:bCs/>
          <w:color w:val="auto"/>
        </w:rPr>
        <w:t>5.26</w:t>
      </w:r>
      <w:r w:rsidR="009B4265">
        <w:rPr>
          <w:rFonts w:ascii="Tahoma" w:hAnsi="Tahoma" w:cs="Tahoma"/>
          <w:bCs/>
          <w:color w:val="auto"/>
        </w:rPr>
        <w:t>%, igualmente s</w:t>
      </w:r>
      <w:r w:rsidR="009C3354">
        <w:rPr>
          <w:rFonts w:ascii="Tahoma" w:hAnsi="Tahoma" w:cs="Tahoma"/>
          <w:bCs/>
          <w:color w:val="auto"/>
        </w:rPr>
        <w:t xml:space="preserve">e resalta la disminución en </w:t>
      </w:r>
      <w:r w:rsidR="00C72CA5">
        <w:rPr>
          <w:rFonts w:ascii="Tahoma" w:hAnsi="Tahoma" w:cs="Tahoma"/>
          <w:bCs/>
          <w:color w:val="auto"/>
        </w:rPr>
        <w:t>los Gastos Generales</w:t>
      </w:r>
      <w:r w:rsidR="009C3354">
        <w:rPr>
          <w:rFonts w:ascii="Tahoma" w:hAnsi="Tahoma" w:cs="Tahoma"/>
          <w:bCs/>
          <w:color w:val="auto"/>
        </w:rPr>
        <w:t xml:space="preserve"> en un </w:t>
      </w:r>
      <w:r w:rsidR="00C72CA5">
        <w:rPr>
          <w:rFonts w:ascii="Tahoma" w:hAnsi="Tahoma" w:cs="Tahoma"/>
          <w:bCs/>
          <w:color w:val="auto"/>
        </w:rPr>
        <w:t>16.10</w:t>
      </w:r>
      <w:r w:rsidR="009C3354">
        <w:rPr>
          <w:rFonts w:ascii="Tahoma" w:hAnsi="Tahoma" w:cs="Tahoma"/>
          <w:bCs/>
          <w:color w:val="auto"/>
        </w:rPr>
        <w:t>%.</w:t>
      </w:r>
      <w:r>
        <w:rPr>
          <w:rFonts w:ascii="Tahoma" w:hAnsi="Tahoma" w:cs="Tahoma"/>
          <w:bCs/>
          <w:color w:val="auto"/>
        </w:rPr>
        <w:t xml:space="preserve"> </w:t>
      </w:r>
    </w:p>
    <w:p w:rsidR="00D95BCE" w:rsidRPr="00741448" w:rsidRDefault="00D95BCE" w:rsidP="001D6862">
      <w:pPr>
        <w:spacing w:before="0" w:after="0"/>
        <w:jc w:val="center"/>
        <w:rPr>
          <w:rFonts w:ascii="Tahoma" w:hAnsi="Tahoma" w:cs="Tahoma"/>
          <w:b/>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E56795" w:rsidRDefault="00E56795" w:rsidP="001D6862">
      <w:pPr>
        <w:spacing w:before="0" w:after="0"/>
        <w:jc w:val="both"/>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C46A08" w:rsidRDefault="00C46A08" w:rsidP="001D6862">
      <w:pPr>
        <w:spacing w:before="0" w:after="0"/>
        <w:jc w:val="both"/>
        <w:rPr>
          <w:rFonts w:ascii="Tahoma" w:hAnsi="Tahoma" w:cs="Tahoma"/>
          <w:b/>
        </w:rPr>
      </w:pP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A07EF9">
        <w:rPr>
          <w:rFonts w:ascii="Tahoma" w:hAnsi="Tahoma" w:cs="Tahoma"/>
          <w:szCs w:val="24"/>
        </w:rPr>
        <w:t>San Sebastián de Mariquita</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E56795" w:rsidRDefault="00E56795" w:rsidP="00E56795">
      <w:pPr>
        <w:spacing w:before="0" w:after="0"/>
        <w:jc w:val="both"/>
      </w:pP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741448" w:rsidRDefault="00741448" w:rsidP="00741448">
      <w:pPr>
        <w:pStyle w:val="NormalWeb"/>
        <w:spacing w:before="0" w:beforeAutospacing="0" w:after="0" w:afterAutospacing="0"/>
        <w:rPr>
          <w:rFonts w:ascii="Tahoma" w:hAnsi="Tahoma" w:cs="Tahoma"/>
          <w:b/>
          <w:sz w:val="22"/>
          <w:szCs w:val="22"/>
        </w:rPr>
      </w:pP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C47D9E" w:rsidRDefault="00C47D9E" w:rsidP="00741448">
      <w:pPr>
        <w:pStyle w:val="NormalWeb"/>
        <w:spacing w:before="0" w:beforeAutospacing="0" w:after="0" w:afterAutospacing="0"/>
        <w:rPr>
          <w:rFonts w:ascii="Tahoma" w:hAnsi="Tahoma" w:cs="Tahoma"/>
          <w:b/>
          <w:sz w:val="22"/>
          <w:szCs w:val="22"/>
        </w:rPr>
      </w:pPr>
    </w:p>
    <w:p w:rsidR="00C47D9E" w:rsidRDefault="00C47D9E"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3C703A" w:rsidRPr="003C703A" w:rsidRDefault="003C703A" w:rsidP="003C703A">
      <w:pPr>
        <w:shd w:val="clear" w:color="auto" w:fill="EAF5FF"/>
        <w:spacing w:before="0" w:after="0"/>
        <w:jc w:val="center"/>
        <w:rPr>
          <w:rFonts w:eastAsia="Times New Roman"/>
          <w:sz w:val="20"/>
          <w:szCs w:val="20"/>
        </w:rPr>
      </w:pPr>
      <w:r w:rsidRPr="003C703A">
        <w:rPr>
          <w:rFonts w:eastAsia="Times New Roman"/>
          <w:b/>
          <w:bCs/>
          <w:sz w:val="20"/>
          <w:szCs w:val="20"/>
        </w:rPr>
        <w:lastRenderedPageBreak/>
        <w:t>CONTRALORÍA GENERAL DE LA REPÚBLICA</w:t>
      </w:r>
    </w:p>
    <w:p w:rsidR="003C703A" w:rsidRPr="003C703A" w:rsidRDefault="003C703A" w:rsidP="003C703A">
      <w:pPr>
        <w:shd w:val="clear" w:color="auto" w:fill="EAF5FF"/>
        <w:spacing w:before="0" w:after="0"/>
        <w:jc w:val="center"/>
        <w:rPr>
          <w:rFonts w:eastAsia="Times New Roman"/>
          <w:sz w:val="20"/>
          <w:szCs w:val="20"/>
        </w:rPr>
      </w:pPr>
      <w:r w:rsidRPr="003C703A">
        <w:rPr>
          <w:rFonts w:eastAsia="Times New Roman"/>
          <w:b/>
          <w:bCs/>
          <w:sz w:val="20"/>
          <w:szCs w:val="20"/>
        </w:rPr>
        <w:t>CONTRALORÍA DELEGADA PARA ECONOMÍA Y FINANZAS PÚBLICAS</w:t>
      </w:r>
    </w:p>
    <w:p w:rsidR="003C703A" w:rsidRPr="003C703A" w:rsidRDefault="003C703A" w:rsidP="003C703A">
      <w:pPr>
        <w:shd w:val="clear" w:color="auto" w:fill="EAF5FF"/>
        <w:spacing w:before="0" w:after="0"/>
        <w:jc w:val="center"/>
        <w:rPr>
          <w:rFonts w:ascii="Times New Roman" w:eastAsia="Times New Roman" w:hAnsi="Times New Roman" w:cs="Times New Roman"/>
          <w:color w:val="auto"/>
          <w:sz w:val="24"/>
          <w:szCs w:val="24"/>
        </w:rPr>
      </w:pPr>
      <w:r w:rsidRPr="003C703A">
        <w:rPr>
          <w:rFonts w:eastAsia="Times New Roman"/>
          <w:b/>
          <w:bCs/>
          <w:sz w:val="20"/>
          <w:szCs w:val="20"/>
        </w:rPr>
        <w:t>DIRECCIÓN DE CUENTAS Y ESTADÍSTICAS FISCALES</w:t>
      </w:r>
    </w:p>
    <w:p w:rsidR="003C703A" w:rsidRPr="003C703A" w:rsidRDefault="003C703A" w:rsidP="003C703A">
      <w:pPr>
        <w:shd w:val="clear" w:color="auto" w:fill="EAF5FF"/>
        <w:spacing w:before="0" w:after="0"/>
        <w:jc w:val="center"/>
        <w:rPr>
          <w:rFonts w:eastAsia="Times New Roman"/>
          <w:sz w:val="20"/>
          <w:szCs w:val="20"/>
        </w:rPr>
      </w:pPr>
      <w:r w:rsidRPr="003C703A">
        <w:rPr>
          <w:rFonts w:eastAsia="Times New Roman"/>
          <w:b/>
          <w:bCs/>
          <w:sz w:val="20"/>
          <w:szCs w:val="20"/>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3C703A" w:rsidRPr="003C703A" w:rsidTr="003C703A">
        <w:trPr>
          <w:tblCellSpacing w:w="15" w:type="dxa"/>
          <w:jc w:val="center"/>
        </w:trPr>
        <w:tc>
          <w:tcPr>
            <w:tcW w:w="0" w:type="auto"/>
            <w:shd w:val="clear" w:color="auto" w:fill="EAF5FF"/>
            <w:vAlign w:val="center"/>
            <w:hideMark/>
          </w:tcPr>
          <w:p w:rsidR="003C703A" w:rsidRPr="003C703A" w:rsidRDefault="003C703A" w:rsidP="003C703A">
            <w:pPr>
              <w:spacing w:before="0" w:after="0"/>
              <w:rPr>
                <w:rFonts w:eastAsia="Times New Roman"/>
                <w:color w:val="auto"/>
                <w:sz w:val="18"/>
                <w:szCs w:val="18"/>
              </w:rPr>
            </w:pPr>
          </w:p>
        </w:tc>
      </w:tr>
      <w:tr w:rsidR="003C703A" w:rsidRPr="003C703A" w:rsidTr="003C703A">
        <w:trPr>
          <w:tblCellSpacing w:w="15" w:type="dxa"/>
          <w:jc w:val="center"/>
        </w:trPr>
        <w:tc>
          <w:tcPr>
            <w:tcW w:w="0" w:type="auto"/>
            <w:shd w:val="clear" w:color="auto" w:fill="EAF5FF"/>
            <w:vAlign w:val="center"/>
            <w:hideMark/>
          </w:tcPr>
          <w:p w:rsidR="003C703A" w:rsidRPr="003C703A" w:rsidRDefault="003C703A" w:rsidP="003C703A">
            <w:pPr>
              <w:spacing w:before="0" w:after="0"/>
              <w:rPr>
                <w:rFonts w:eastAsia="Times New Roman"/>
                <w:color w:val="auto"/>
                <w:sz w:val="18"/>
                <w:szCs w:val="18"/>
              </w:rPr>
            </w:pPr>
          </w:p>
        </w:tc>
      </w:tr>
      <w:tr w:rsidR="003C703A" w:rsidRPr="003C703A" w:rsidTr="003C703A">
        <w:trPr>
          <w:tblCellSpacing w:w="15" w:type="dxa"/>
          <w:jc w:val="center"/>
        </w:trPr>
        <w:tc>
          <w:tcPr>
            <w:tcW w:w="0" w:type="auto"/>
            <w:shd w:val="clear" w:color="auto" w:fill="EAF5FF"/>
            <w:vAlign w:val="center"/>
            <w:hideMark/>
          </w:tcPr>
          <w:p w:rsidR="003C703A" w:rsidRPr="003C703A" w:rsidRDefault="003C703A" w:rsidP="003C703A">
            <w:pPr>
              <w:spacing w:before="0" w:after="0"/>
              <w:rPr>
                <w:rFonts w:eastAsia="Times New Roman"/>
                <w:color w:val="auto"/>
                <w:sz w:val="18"/>
                <w:szCs w:val="18"/>
              </w:rPr>
            </w:pPr>
          </w:p>
        </w:tc>
      </w:tr>
      <w:tr w:rsidR="003C703A" w:rsidRPr="003C703A" w:rsidTr="003C703A">
        <w:trPr>
          <w:tblCellSpacing w:w="15" w:type="dxa"/>
          <w:jc w:val="center"/>
        </w:trPr>
        <w:tc>
          <w:tcPr>
            <w:tcW w:w="0" w:type="auto"/>
            <w:shd w:val="clear" w:color="auto" w:fill="EAF5FF"/>
            <w:vAlign w:val="center"/>
            <w:hideMark/>
          </w:tcPr>
          <w:p w:rsidR="003C703A" w:rsidRPr="003C703A" w:rsidRDefault="003C703A" w:rsidP="003C703A">
            <w:pPr>
              <w:spacing w:before="0" w:after="0"/>
              <w:rPr>
                <w:rFonts w:eastAsia="Times New Roman"/>
                <w:color w:val="auto"/>
                <w:sz w:val="18"/>
                <w:szCs w:val="18"/>
              </w:rPr>
            </w:pPr>
          </w:p>
        </w:tc>
      </w:tr>
      <w:tr w:rsidR="003C703A" w:rsidRPr="003C703A" w:rsidTr="003C703A">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3557"/>
              <w:gridCol w:w="4843"/>
            </w:tblGrid>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TOLIMA</w:t>
                  </w:r>
                </w:p>
              </w:tc>
            </w:tr>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214373443 - SAN SEBASTIAN DE MARIQUITA</w:t>
                  </w:r>
                </w:p>
              </w:tc>
            </w:tr>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2015</w:t>
                  </w:r>
                </w:p>
              </w:tc>
            </w:tr>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Sexta</w:t>
                  </w:r>
                </w:p>
              </w:tc>
            </w:tr>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80%</w:t>
                  </w:r>
                </w:p>
              </w:tc>
            </w:tr>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Procede la Certificación de la Entidad.</w:t>
                  </w:r>
                </w:p>
              </w:tc>
            </w:tr>
          </w:tbl>
          <w:p w:rsidR="003C703A" w:rsidRPr="003C703A" w:rsidRDefault="003C703A" w:rsidP="003C703A">
            <w:pPr>
              <w:spacing w:before="0" w:after="0"/>
              <w:jc w:val="center"/>
              <w:rPr>
                <w:rFonts w:eastAsia="Times New Roman"/>
                <w:color w:val="auto"/>
                <w:sz w:val="18"/>
                <w:szCs w:val="18"/>
              </w:rPr>
            </w:pPr>
          </w:p>
        </w:tc>
      </w:tr>
    </w:tbl>
    <w:p w:rsidR="003C703A" w:rsidRDefault="003C703A" w:rsidP="00741448">
      <w:pPr>
        <w:pStyle w:val="NormalWeb"/>
        <w:spacing w:before="0" w:beforeAutospacing="0" w:after="0" w:afterAutospacing="0"/>
      </w:pPr>
    </w:p>
    <w:p w:rsidR="003C703A" w:rsidRPr="003C703A" w:rsidRDefault="003C703A" w:rsidP="003C703A">
      <w:pPr>
        <w:spacing w:before="0" w:after="0"/>
        <w:rPr>
          <w:rFonts w:ascii="Times New Roman" w:eastAsia="Times New Roman" w:hAnsi="Times New Roman" w:cs="Times New Roman"/>
          <w:color w:val="auto"/>
          <w:sz w:val="24"/>
          <w:szCs w:val="24"/>
        </w:rPr>
      </w:pPr>
      <w:r w:rsidRPr="003C703A">
        <w:rPr>
          <w:rFonts w:eastAsia="Times New Roman"/>
          <w:b/>
          <w:bCs/>
          <w:sz w:val="18"/>
          <w:szCs w:val="18"/>
          <w:shd w:val="clear" w:color="auto" w:fill="EAF5FF"/>
        </w:rPr>
        <w:t>Ingresos Corrientes de Libre Destinación (ICLD)</w:t>
      </w:r>
    </w:p>
    <w:tbl>
      <w:tblPr>
        <w:tblW w:w="8536" w:type="dxa"/>
        <w:jc w:val="center"/>
        <w:tblCellSpacing w:w="6" w:type="dxa"/>
        <w:tblBorders>
          <w:top w:val="outset" w:sz="6" w:space="0" w:color="auto"/>
          <w:left w:val="outset" w:sz="6" w:space="0" w:color="auto"/>
          <w:bottom w:val="outset" w:sz="6" w:space="0" w:color="auto"/>
          <w:right w:val="outset" w:sz="6" w:space="0" w:color="auto"/>
        </w:tblBorders>
        <w:shd w:val="clear" w:color="auto" w:fill="EAF5FF"/>
        <w:tblCellMar>
          <w:top w:w="15" w:type="dxa"/>
          <w:left w:w="15" w:type="dxa"/>
          <w:bottom w:w="15" w:type="dxa"/>
          <w:right w:w="15" w:type="dxa"/>
        </w:tblCellMar>
        <w:tblLook w:val="04A0" w:firstRow="1" w:lastRow="0" w:firstColumn="1" w:lastColumn="0" w:noHBand="0" w:noVBand="1"/>
      </w:tblPr>
      <w:tblGrid>
        <w:gridCol w:w="1890"/>
        <w:gridCol w:w="4838"/>
        <w:gridCol w:w="1675"/>
        <w:gridCol w:w="133"/>
      </w:tblGrid>
      <w:tr w:rsidR="003C703A" w:rsidRPr="003C703A" w:rsidTr="003C703A">
        <w:trPr>
          <w:gridAfter w:val="3"/>
          <w:wAfter w:w="6625" w:type="dxa"/>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AF5FF"/>
            <w:vAlign w:val="center"/>
            <w:hideMark/>
          </w:tcPr>
          <w:p w:rsidR="003C703A" w:rsidRPr="003C703A" w:rsidRDefault="003C703A" w:rsidP="003C703A">
            <w:pPr>
              <w:spacing w:before="0" w:after="0"/>
              <w:rPr>
                <w:rFonts w:eastAsia="Times New Roman"/>
                <w:color w:val="auto"/>
                <w:sz w:val="18"/>
                <w:szCs w:val="18"/>
              </w:rPr>
            </w:pPr>
          </w:p>
        </w:tc>
      </w:tr>
      <w:tr w:rsidR="003C703A" w:rsidRPr="003C703A" w:rsidTr="003C703A">
        <w:trPr>
          <w:gridAfter w:val="1"/>
          <w:tblCellSpacing w:w="6" w:type="dxa"/>
          <w:jc w:val="center"/>
        </w:trPr>
        <w:tc>
          <w:tcPr>
            <w:tcW w:w="1872"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Concepto</w:t>
            </w:r>
          </w:p>
        </w:tc>
        <w:tc>
          <w:tcPr>
            <w:tcW w:w="4534"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Descripción</w:t>
            </w:r>
          </w:p>
        </w:tc>
        <w:tc>
          <w:tcPr>
            <w:tcW w:w="1952"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Ejecución (Miles de Pesos)</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2.562</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2.251.470</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1.340.016</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238.224</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1.1.01.02.49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Delineación y Urbanismo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63.019</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1.1.01.02.51.01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Espectaculos Públicos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300</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1.299.568</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1.1.01.02.98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Otros Impuestos Indirectos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753</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Tránsito y Transporte</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133.831</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1.1.02.01.01.19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Expedición de Certificados y Paz y Salvos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0</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5.110</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176.506</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4.138</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851.834</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1.1.02.02.01.01.01.98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Otras Transferencias del Nivel Central Nacional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7.632</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53.078</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b/>
                <w:bCs/>
                <w:color w:val="auto"/>
                <w:sz w:val="18"/>
                <w:szCs w:val="18"/>
              </w:rPr>
              <w:t>6.428.041</w:t>
            </w:r>
          </w:p>
        </w:tc>
      </w:tr>
      <w:tr w:rsidR="003C703A" w:rsidRPr="003C703A" w:rsidTr="003C703A">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b/>
                <w:bCs/>
                <w:color w:val="auto"/>
                <w:sz w:val="18"/>
                <w:szCs w:val="18"/>
              </w:rPr>
              <w:t>6.428.04</w:t>
            </w:r>
          </w:p>
        </w:tc>
      </w:tr>
      <w:tr w:rsidR="003C703A" w:rsidRPr="003C703A" w:rsidTr="003C703A">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lastRenderedPageBreak/>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3C703A" w:rsidRPr="003C703A">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C703A" w:rsidRPr="003C703A" w:rsidRDefault="003C703A" w:rsidP="003C703A">
                  <w:pPr>
                    <w:spacing w:before="0" w:after="0"/>
                    <w:rPr>
                      <w:rFonts w:eastAsia="Times New Roman"/>
                      <w:color w:val="auto"/>
                      <w:sz w:val="18"/>
                      <w:szCs w:val="18"/>
                    </w:rPr>
                  </w:pPr>
                </w:p>
              </w:tc>
            </w:tr>
            <w:tr w:rsidR="003C703A" w:rsidRPr="003C703A">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Ejecución (Miles de Pesos)</w:t>
                  </w:r>
                </w:p>
              </w:tc>
            </w:tr>
            <w:tr w:rsidR="003C703A" w:rsidRPr="003C703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465.110</w:t>
                  </w:r>
                </w:p>
              </w:tc>
            </w:tr>
            <w:tr w:rsidR="003C703A" w:rsidRPr="003C703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1.083.406</w:t>
                  </w:r>
                </w:p>
              </w:tc>
            </w:tr>
            <w:tr w:rsidR="003C703A" w:rsidRPr="003C703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color w:val="auto"/>
                      <w:sz w:val="18"/>
                      <w:szCs w:val="18"/>
                    </w:rPr>
                    <w:t>3.570.006</w:t>
                  </w:r>
                </w:p>
              </w:tc>
            </w:tr>
            <w:tr w:rsidR="003C703A" w:rsidRPr="003C703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rPr>
                      <w:rFonts w:eastAsia="Times New Roman"/>
                      <w:color w:val="auto"/>
                      <w:sz w:val="18"/>
                      <w:szCs w:val="18"/>
                    </w:rPr>
                  </w:pPr>
                  <w:r w:rsidRPr="003C703A">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b/>
                      <w:bCs/>
                      <w:color w:val="auto"/>
                      <w:sz w:val="18"/>
                      <w:szCs w:val="18"/>
                    </w:rPr>
                    <w:t>5.118.522</w:t>
                  </w:r>
                </w:p>
              </w:tc>
            </w:tr>
          </w:tbl>
          <w:p w:rsidR="003C703A" w:rsidRPr="003C703A" w:rsidRDefault="003C703A" w:rsidP="003C703A">
            <w:pPr>
              <w:spacing w:before="0" w:after="0"/>
              <w:jc w:val="center"/>
              <w:rPr>
                <w:rFonts w:eastAsia="Times New Roman"/>
                <w:color w:val="auto"/>
                <w:sz w:val="18"/>
                <w:szCs w:val="18"/>
              </w:rPr>
            </w:pPr>
          </w:p>
        </w:tc>
      </w:tr>
      <w:tr w:rsidR="003C703A" w:rsidRPr="003C703A" w:rsidTr="003C703A">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40"/>
              <w:gridCol w:w="1160"/>
            </w:tblGrid>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center"/>
                    <w:rPr>
                      <w:rFonts w:eastAsia="Times New Roman"/>
                      <w:color w:val="auto"/>
                      <w:sz w:val="18"/>
                      <w:szCs w:val="18"/>
                    </w:rPr>
                  </w:pPr>
                  <w:r w:rsidRPr="003C703A">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b/>
                      <w:bCs/>
                      <w:color w:val="auto"/>
                      <w:sz w:val="18"/>
                      <w:szCs w:val="18"/>
                    </w:rPr>
                    <w:t>79,63%</w:t>
                  </w:r>
                </w:p>
              </w:tc>
            </w:tr>
            <w:tr w:rsidR="003C703A" w:rsidRPr="003C703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214DD0" w:rsidP="003C703A">
                  <w:pPr>
                    <w:spacing w:before="0" w:after="0"/>
                    <w:jc w:val="center"/>
                    <w:rPr>
                      <w:rFonts w:eastAsia="Times New Roman"/>
                      <w:color w:val="auto"/>
                      <w:sz w:val="18"/>
                      <w:szCs w:val="18"/>
                    </w:rPr>
                  </w:pPr>
                  <w:r w:rsidRPr="003C703A">
                    <w:rPr>
                      <w:rFonts w:eastAsia="Times New Roman"/>
                      <w:b/>
                      <w:bCs/>
                      <w:color w:val="auto"/>
                      <w:sz w:val="18"/>
                      <w:szCs w:val="18"/>
                    </w:rPr>
                    <w:t>Lím</w:t>
                  </w:r>
                  <w:r>
                    <w:rPr>
                      <w:rFonts w:eastAsia="Times New Roman"/>
                      <w:b/>
                      <w:bCs/>
                      <w:color w:val="auto"/>
                      <w:sz w:val="18"/>
                      <w:szCs w:val="18"/>
                    </w:rPr>
                    <w:t>i</w:t>
                  </w:r>
                  <w:r w:rsidRPr="003C703A">
                    <w:rPr>
                      <w:rFonts w:eastAsia="Times New Roman"/>
                      <w:b/>
                      <w:bCs/>
                      <w:color w:val="auto"/>
                      <w:sz w:val="18"/>
                      <w:szCs w:val="18"/>
                    </w:rPr>
                    <w:t>te</w:t>
                  </w:r>
                  <w:r w:rsidR="003C703A" w:rsidRPr="003C703A">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C703A" w:rsidRPr="003C703A" w:rsidRDefault="003C703A" w:rsidP="003C703A">
                  <w:pPr>
                    <w:spacing w:before="0" w:after="0"/>
                    <w:jc w:val="right"/>
                    <w:rPr>
                      <w:rFonts w:eastAsia="Times New Roman"/>
                      <w:color w:val="auto"/>
                      <w:sz w:val="18"/>
                      <w:szCs w:val="18"/>
                    </w:rPr>
                  </w:pPr>
                  <w:r w:rsidRPr="003C703A">
                    <w:rPr>
                      <w:rFonts w:eastAsia="Times New Roman"/>
                      <w:b/>
                      <w:bCs/>
                      <w:color w:val="auto"/>
                      <w:sz w:val="18"/>
                      <w:szCs w:val="18"/>
                    </w:rPr>
                    <w:t>0,37%</w:t>
                  </w:r>
                </w:p>
              </w:tc>
            </w:tr>
          </w:tbl>
          <w:p w:rsidR="003C703A" w:rsidRPr="003C703A" w:rsidRDefault="003C703A" w:rsidP="003C703A">
            <w:pPr>
              <w:spacing w:before="0" w:after="0"/>
              <w:jc w:val="center"/>
              <w:rPr>
                <w:rFonts w:eastAsia="Times New Roman"/>
                <w:color w:val="auto"/>
                <w:sz w:val="18"/>
                <w:szCs w:val="18"/>
              </w:rPr>
            </w:pPr>
          </w:p>
        </w:tc>
      </w:tr>
      <w:tr w:rsidR="003C703A" w:rsidRPr="003C703A" w:rsidTr="003C703A">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3C703A" w:rsidRPr="003C703A" w:rsidRDefault="003C703A" w:rsidP="003C703A">
            <w:pPr>
              <w:spacing w:before="0" w:after="0"/>
              <w:rPr>
                <w:rFonts w:eastAsia="Times New Roman"/>
                <w:color w:val="auto"/>
                <w:sz w:val="18"/>
                <w:szCs w:val="18"/>
              </w:rPr>
            </w:pPr>
          </w:p>
        </w:tc>
      </w:tr>
      <w:tr w:rsidR="003C703A" w:rsidRPr="003C703A" w:rsidTr="003C703A">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3C703A" w:rsidRPr="003C703A" w:rsidRDefault="003C703A" w:rsidP="003C703A">
            <w:pPr>
              <w:spacing w:before="0" w:after="0"/>
              <w:rPr>
                <w:rFonts w:eastAsia="Times New Roman"/>
                <w:color w:val="auto"/>
                <w:sz w:val="18"/>
                <w:szCs w:val="18"/>
              </w:rPr>
            </w:pPr>
          </w:p>
        </w:tc>
      </w:tr>
    </w:tbl>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3C703A" w:rsidRDefault="003C703A" w:rsidP="00AC2164">
      <w:pPr>
        <w:pStyle w:val="Ttulo2"/>
        <w:jc w:val="both"/>
        <w:rPr>
          <w:rFonts w:ascii="Tahoma" w:hAnsi="Tahoma" w:cs="Tahoma"/>
          <w:b w:val="0"/>
          <w:sz w:val="22"/>
          <w:lang w:val="es-CO"/>
        </w:rPr>
      </w:pPr>
    </w:p>
    <w:p w:rsidR="0078344D" w:rsidRDefault="00AC2164" w:rsidP="00AC2164">
      <w:pPr>
        <w:pStyle w:val="Ttulo2"/>
        <w:jc w:val="both"/>
        <w:rPr>
          <w:rFonts w:ascii="Tahoma" w:hAnsi="Tahoma" w:cs="Tahoma"/>
          <w:b w:val="0"/>
          <w:sz w:val="22"/>
          <w:lang w:val="es-CO"/>
        </w:rPr>
      </w:pPr>
      <w:r>
        <w:rPr>
          <w:rFonts w:ascii="Tahoma" w:hAnsi="Tahoma" w:cs="Tahoma"/>
          <w:b w:val="0"/>
          <w:sz w:val="22"/>
          <w:lang w:val="es-CO"/>
        </w:rPr>
        <w:t>Teniendo en cuenta la certificación de Ingresos corrientes de Libre Destinación expedida por la Contraloría General de la República</w:t>
      </w:r>
      <w:r w:rsidR="005F4A02">
        <w:rPr>
          <w:rFonts w:ascii="Tahoma" w:hAnsi="Tahoma" w:cs="Tahoma"/>
          <w:b w:val="0"/>
          <w:sz w:val="22"/>
          <w:lang w:val="es-CO"/>
        </w:rPr>
        <w:t xml:space="preserve"> y</w:t>
      </w:r>
      <w:r w:rsidR="002206E8">
        <w:rPr>
          <w:rFonts w:ascii="Tahoma" w:hAnsi="Tahoma" w:cs="Tahoma"/>
          <w:b w:val="0"/>
          <w:sz w:val="22"/>
          <w:lang w:val="es-CO"/>
        </w:rPr>
        <w:t xml:space="preserve"> la Ejecución presupuestal de Ingresos y Gastos</w:t>
      </w:r>
      <w:r w:rsidR="005F4A02">
        <w:rPr>
          <w:rFonts w:ascii="Tahoma" w:hAnsi="Tahoma" w:cs="Tahoma"/>
          <w:b w:val="0"/>
          <w:sz w:val="22"/>
          <w:lang w:val="es-CO"/>
        </w:rPr>
        <w:t>,</w:t>
      </w:r>
      <w:r>
        <w:rPr>
          <w:rFonts w:ascii="Tahoma" w:hAnsi="Tahoma" w:cs="Tahoma"/>
          <w:b w:val="0"/>
          <w:sz w:val="22"/>
          <w:lang w:val="es-CO"/>
        </w:rPr>
        <w:t xml:space="preserve"> se </w:t>
      </w:r>
      <w:r w:rsidR="004B7B3F">
        <w:rPr>
          <w:rFonts w:ascii="Tahoma" w:hAnsi="Tahoma" w:cs="Tahoma"/>
          <w:b w:val="0"/>
          <w:sz w:val="22"/>
          <w:lang w:val="es-CO"/>
        </w:rPr>
        <w:t>evidenci</w:t>
      </w:r>
      <w:r>
        <w:rPr>
          <w:rFonts w:ascii="Tahoma" w:hAnsi="Tahoma" w:cs="Tahoma"/>
          <w:b w:val="0"/>
          <w:sz w:val="22"/>
          <w:lang w:val="es-CO"/>
        </w:rPr>
        <w:t xml:space="preserve">ó que el Municipio de </w:t>
      </w:r>
      <w:r w:rsidR="00AA690A" w:rsidRPr="00AA690A">
        <w:rPr>
          <w:rFonts w:ascii="Tahoma" w:hAnsi="Tahoma" w:cs="Tahoma"/>
          <w:sz w:val="22"/>
          <w:szCs w:val="22"/>
        </w:rPr>
        <w:t>San Sebastián</w:t>
      </w:r>
      <w:r w:rsidR="00AA690A">
        <w:rPr>
          <w:rFonts w:ascii="Tahoma" w:hAnsi="Tahoma" w:cs="Tahoma"/>
          <w:sz w:val="22"/>
          <w:szCs w:val="22"/>
        </w:rPr>
        <w:t xml:space="preserve"> de Mariquita</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w:t>
      </w:r>
      <w:r w:rsidR="00C12F15">
        <w:rPr>
          <w:rFonts w:ascii="Tahoma" w:hAnsi="Tahoma" w:cs="Tahoma"/>
          <w:b w:val="0"/>
          <w:sz w:val="22"/>
          <w:lang w:val="es-CO"/>
        </w:rPr>
        <w:t>l</w:t>
      </w:r>
      <w:r>
        <w:rPr>
          <w:rFonts w:ascii="Tahoma" w:hAnsi="Tahoma" w:cs="Tahoma"/>
          <w:b w:val="0"/>
          <w:sz w:val="22"/>
          <w:lang w:val="es-CO"/>
        </w:rPr>
        <w:t xml:space="preserve"> </w:t>
      </w:r>
      <w:r w:rsidR="00AA690A">
        <w:rPr>
          <w:rFonts w:ascii="Tahoma" w:hAnsi="Tahoma" w:cs="Tahoma"/>
          <w:b w:val="0"/>
          <w:sz w:val="22"/>
          <w:lang w:val="es-CO"/>
        </w:rPr>
        <w:t>79.63</w:t>
      </w:r>
      <w:r w:rsidRPr="004A698D">
        <w:rPr>
          <w:rFonts w:ascii="Tahoma" w:hAnsi="Tahoma" w:cs="Tahoma"/>
          <w:sz w:val="22"/>
          <w:lang w:val="es-CO"/>
        </w:rPr>
        <w:t>%</w:t>
      </w:r>
      <w:r>
        <w:rPr>
          <w:rFonts w:ascii="Tahoma" w:hAnsi="Tahoma" w:cs="Tahoma"/>
          <w:b w:val="0"/>
          <w:sz w:val="22"/>
          <w:lang w:val="es-CO"/>
        </w:rPr>
        <w:t xml:space="preserve"> dó</w:t>
      </w:r>
      <w:r w:rsidR="00AA690A">
        <w:rPr>
          <w:rFonts w:ascii="Tahoma" w:hAnsi="Tahoma" w:cs="Tahoma"/>
          <w:b w:val="0"/>
          <w:sz w:val="22"/>
          <w:lang w:val="es-CO"/>
        </w:rPr>
        <w:t>nde el límite máximo es del 80%</w:t>
      </w:r>
      <w:r w:rsidR="0078344D">
        <w:rPr>
          <w:rFonts w:ascii="Tahoma" w:hAnsi="Tahoma" w:cs="Tahoma"/>
          <w:b w:val="0"/>
          <w:sz w:val="22"/>
          <w:lang w:val="es-CO"/>
        </w:rPr>
        <w:t xml:space="preserve">. </w:t>
      </w:r>
    </w:p>
    <w:p w:rsidR="004E5B7D" w:rsidRDefault="004E5B7D" w:rsidP="00AC2164">
      <w:pPr>
        <w:pStyle w:val="Ttulo2"/>
        <w:jc w:val="both"/>
        <w:rPr>
          <w:rFonts w:ascii="Tahoma" w:hAnsi="Tahoma" w:cs="Tahoma"/>
          <w:b w:val="0"/>
          <w:sz w:val="22"/>
          <w:lang w:val="es-CO"/>
        </w:rPr>
      </w:pPr>
    </w:p>
    <w:p w:rsidR="004B7B3F" w:rsidRPr="00776215" w:rsidRDefault="00E15E67" w:rsidP="004B7B3F">
      <w:pPr>
        <w:spacing w:before="0" w:after="0"/>
        <w:jc w:val="both"/>
        <w:rPr>
          <w:rFonts w:ascii="Tahoma" w:eastAsia="Times New Roman" w:hAnsi="Tahoma" w:cs="Tahoma"/>
          <w:b/>
          <w:bCs/>
          <w:color w:val="auto"/>
        </w:rPr>
      </w:pPr>
      <w:r w:rsidRPr="00776215">
        <w:rPr>
          <w:rFonts w:ascii="Tahoma" w:eastAsia="Times New Roman" w:hAnsi="Tahoma" w:cs="Tahoma"/>
          <w:b/>
          <w:bCs/>
          <w:color w:val="auto"/>
        </w:rPr>
        <w:t xml:space="preserve">GASTOS DE LAS CORPORACIONES </w:t>
      </w:r>
      <w:r w:rsidR="005F4A02" w:rsidRPr="00776215">
        <w:rPr>
          <w:rFonts w:ascii="Tahoma" w:eastAsia="Times New Roman" w:hAnsi="Tahoma" w:cs="Tahoma"/>
          <w:b/>
          <w:bCs/>
          <w:color w:val="auto"/>
        </w:rPr>
        <w:t>PÚBLICAS</w:t>
      </w:r>
      <w:r w:rsidRPr="00776215">
        <w:rPr>
          <w:rFonts w:ascii="Tahoma" w:eastAsia="Times New Roman" w:hAnsi="Tahoma" w:cs="Tahoma"/>
          <w:b/>
          <w:bCs/>
          <w:color w:val="auto"/>
        </w:rPr>
        <w:t xml:space="preserve"> – CONCEJO MUNICIPAL</w:t>
      </w:r>
    </w:p>
    <w:p w:rsidR="00E15E67" w:rsidRPr="00776215"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A66750">
        <w:rPr>
          <w:rFonts w:ascii="Tahoma" w:eastAsia="Times New Roman" w:hAnsi="Tahoma" w:cs="Tahoma"/>
          <w:bCs/>
          <w:color w:val="auto"/>
        </w:rPr>
        <w:t xml:space="preserve">El </w:t>
      </w:r>
      <w:r w:rsidR="00C86CA5">
        <w:rPr>
          <w:rFonts w:ascii="Tahoma" w:eastAsia="Times New Roman" w:hAnsi="Tahoma" w:cs="Tahoma"/>
          <w:bCs/>
          <w:color w:val="auto"/>
        </w:rPr>
        <w:t>ente Territorial</w:t>
      </w:r>
      <w:r w:rsidRPr="00A66750">
        <w:rPr>
          <w:rFonts w:ascii="Tahoma" w:eastAsia="Times New Roman" w:hAnsi="Tahoma" w:cs="Tahoma"/>
          <w:bCs/>
          <w:color w:val="auto"/>
        </w:rPr>
        <w:t xml:space="preserve"> para la vigencia 2015, le transfirió al Concejo Municipal la suma de $</w:t>
      </w:r>
      <w:r w:rsidR="0078344D">
        <w:rPr>
          <w:rFonts w:ascii="Tahoma" w:eastAsia="Times New Roman" w:hAnsi="Tahoma" w:cs="Tahoma"/>
          <w:bCs/>
          <w:color w:val="auto"/>
        </w:rPr>
        <w:t>207</w:t>
      </w:r>
      <w:r w:rsidR="00EE23CA" w:rsidRPr="00EE23CA">
        <w:rPr>
          <w:rFonts w:ascii="Tahoma" w:hAnsi="Tahoma" w:cs="Tahoma"/>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de los cuales $1</w:t>
      </w:r>
      <w:r w:rsidR="0078344D">
        <w:rPr>
          <w:rFonts w:ascii="Tahoma" w:eastAsia="Times New Roman" w:hAnsi="Tahoma" w:cs="Tahoma"/>
          <w:bCs/>
          <w:color w:val="auto"/>
        </w:rPr>
        <w:t>35</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correspondieron a honorarios de Concejales y $</w:t>
      </w:r>
      <w:r w:rsidR="0078344D">
        <w:rPr>
          <w:rFonts w:ascii="Tahoma" w:eastAsia="Times New Roman" w:hAnsi="Tahoma" w:cs="Tahoma"/>
          <w:bCs/>
          <w:color w:val="auto"/>
        </w:rPr>
        <w:t>72</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para gastos de funcionamiento</w:t>
      </w:r>
      <w:r w:rsidR="007B5621" w:rsidRPr="00A66750">
        <w:rPr>
          <w:rFonts w:ascii="Tahoma" w:eastAsia="Times New Roman" w:hAnsi="Tahoma" w:cs="Tahoma"/>
          <w:bCs/>
          <w:color w:val="auto"/>
        </w:rPr>
        <w:t xml:space="preserve">, con ello </w:t>
      </w:r>
      <w:r w:rsidR="001B475A">
        <w:rPr>
          <w:rFonts w:ascii="Tahoma" w:eastAsia="Times New Roman" w:hAnsi="Tahoma" w:cs="Tahoma"/>
          <w:bCs/>
          <w:color w:val="auto"/>
        </w:rPr>
        <w:t xml:space="preserve">el Municipio de </w:t>
      </w:r>
      <w:r w:rsidR="0078344D" w:rsidRPr="00AA690A">
        <w:rPr>
          <w:rFonts w:ascii="Tahoma" w:hAnsi="Tahoma" w:cs="Tahoma"/>
        </w:rPr>
        <w:t>San Sebastián</w:t>
      </w:r>
      <w:r w:rsidR="0078344D">
        <w:rPr>
          <w:rFonts w:ascii="Tahoma" w:hAnsi="Tahoma" w:cs="Tahoma"/>
        </w:rPr>
        <w:t xml:space="preserve"> de Mariquita</w:t>
      </w:r>
      <w:r w:rsidR="0078344D">
        <w:rPr>
          <w:rFonts w:ascii="Tahoma" w:eastAsia="Times New Roman" w:hAnsi="Tahoma" w:cs="Tahoma"/>
          <w:bCs/>
          <w:color w:val="auto"/>
        </w:rPr>
        <w:t xml:space="preserve"> </w:t>
      </w:r>
      <w:r w:rsidR="00640913" w:rsidRPr="00214DD0">
        <w:rPr>
          <w:rFonts w:ascii="Tahoma" w:eastAsia="Times New Roman" w:hAnsi="Tahoma" w:cs="Tahoma"/>
          <w:b/>
          <w:bCs/>
          <w:color w:val="auto"/>
          <w:u w:val="single"/>
        </w:rPr>
        <w:t>d</w:t>
      </w:r>
      <w:r w:rsidR="001B475A" w:rsidRPr="00214DD0">
        <w:rPr>
          <w:rFonts w:ascii="Tahoma" w:eastAsia="Times New Roman" w:hAnsi="Tahoma" w:cs="Tahoma"/>
          <w:b/>
          <w:bCs/>
          <w:color w:val="auto"/>
          <w:u w:val="single"/>
        </w:rPr>
        <w:t>io</w:t>
      </w:r>
      <w:r w:rsidR="00640913" w:rsidRPr="00214DD0">
        <w:rPr>
          <w:rFonts w:ascii="Tahoma" w:eastAsia="Times New Roman" w:hAnsi="Tahoma" w:cs="Tahoma"/>
          <w:b/>
          <w:bCs/>
          <w:color w:val="auto"/>
          <w:u w:val="single"/>
        </w:rPr>
        <w:t xml:space="preserve"> </w:t>
      </w:r>
      <w:r w:rsidR="00640913" w:rsidRPr="00214DD0">
        <w:rPr>
          <w:rFonts w:ascii="Tahoma" w:hAnsi="Tahoma" w:cs="Tahoma"/>
          <w:b/>
          <w:u w:val="single"/>
        </w:rPr>
        <w:t>cumplimiento</w:t>
      </w:r>
      <w:r w:rsidR="00640913" w:rsidRPr="00214DD0">
        <w:rPr>
          <w:rFonts w:ascii="Tahoma" w:hAnsi="Tahoma" w:cs="Tahoma"/>
          <w:u w:val="single"/>
        </w:rPr>
        <w:t xml:space="preserve"> </w:t>
      </w:r>
      <w:r w:rsidR="00640913" w:rsidRPr="00A66750">
        <w:rPr>
          <w:rFonts w:ascii="Tahoma" w:hAnsi="Tahoma" w:cs="Tahoma"/>
        </w:rPr>
        <w:t>a lo establec</w:t>
      </w:r>
      <w:r w:rsidR="00A66750" w:rsidRPr="00A66750">
        <w:rPr>
          <w:rFonts w:ascii="Tahoma" w:hAnsi="Tahoma" w:cs="Tahoma"/>
        </w:rPr>
        <w:t xml:space="preserve">ido en </w:t>
      </w:r>
      <w:r w:rsidR="00640913" w:rsidRPr="00A66750">
        <w:rPr>
          <w:rFonts w:ascii="Tahoma" w:hAnsi="Tahoma" w:cs="Tahoma"/>
        </w:rPr>
        <w:t>la Ley 617 de</w:t>
      </w:r>
      <w:r w:rsidR="00C86CA5">
        <w:rPr>
          <w:rFonts w:ascii="Tahoma" w:hAnsi="Tahoma" w:cs="Tahoma"/>
        </w:rPr>
        <w:t xml:space="preserve"> 2000 artículo 10,</w:t>
      </w:r>
      <w:r w:rsidR="005172FE">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763FDB">
        <w:rPr>
          <w:rFonts w:ascii="Tahoma" w:hAnsi="Tahoma" w:cs="Tahoma"/>
        </w:rPr>
        <w:t xml:space="preserve"> Es decir, </w:t>
      </w:r>
      <w:r w:rsidR="001B475A">
        <w:rPr>
          <w:rFonts w:ascii="Tahoma" w:hAnsi="Tahoma" w:cs="Tahoma"/>
        </w:rPr>
        <w:t>l</w:t>
      </w:r>
      <w:r w:rsidR="00763FDB">
        <w:rPr>
          <w:rFonts w:ascii="Tahoma" w:hAnsi="Tahoma" w:cs="Tahoma"/>
        </w:rPr>
        <w:t>a suma de $</w:t>
      </w:r>
      <w:r w:rsidR="00214DD0">
        <w:rPr>
          <w:rFonts w:ascii="Tahoma" w:hAnsi="Tahoma" w:cs="Tahoma"/>
        </w:rPr>
        <w:t>96.420.615</w:t>
      </w:r>
      <w:r w:rsidR="00763FDB">
        <w:rPr>
          <w:rFonts w:ascii="Tahoma" w:hAnsi="Tahoma" w:cs="Tahoma"/>
        </w:rPr>
        <w:t>.oo</w:t>
      </w:r>
      <w:r w:rsidR="005172FE">
        <w:rPr>
          <w:rFonts w:ascii="Tahoma" w:hAnsi="Tahoma" w:cs="Tahoma"/>
        </w:rPr>
        <w:t xml:space="preserve"> </w:t>
      </w:r>
    </w:p>
    <w:p w:rsidR="00763FDB" w:rsidRDefault="00763FDB" w:rsidP="004B7B3F">
      <w:pPr>
        <w:spacing w:before="0" w:after="0"/>
        <w:jc w:val="both"/>
        <w:rPr>
          <w:rFonts w:ascii="Tahoma" w:hAnsi="Tahoma" w:cs="Tahoma"/>
        </w:rPr>
      </w:pPr>
    </w:p>
    <w:p w:rsidR="00231ECA" w:rsidRDefault="00214DD0" w:rsidP="004B7B3F">
      <w:pPr>
        <w:spacing w:before="0" w:after="0"/>
        <w:jc w:val="both"/>
        <w:rPr>
          <w:rFonts w:eastAsia="Times New Roman"/>
          <w:b/>
          <w:bCs/>
          <w:color w:val="auto"/>
          <w:sz w:val="20"/>
          <w:szCs w:val="20"/>
        </w:rPr>
      </w:pPr>
      <w:r w:rsidRPr="00214DD0">
        <w:rPr>
          <w:noProof/>
        </w:rPr>
        <w:drawing>
          <wp:inline distT="0" distB="0" distL="0" distR="0" wp14:anchorId="37393A1C" wp14:editId="29771AA4">
            <wp:extent cx="5722620" cy="960120"/>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18738" cy="959469"/>
                    </a:xfrm>
                    <a:prstGeom prst="rect">
                      <a:avLst/>
                    </a:prstGeom>
                  </pic:spPr>
                </pic:pic>
              </a:graphicData>
            </a:graphic>
          </wp:inline>
        </w:drawing>
      </w:r>
    </w:p>
    <w:p w:rsidR="00231ECA" w:rsidRDefault="00231ECA" w:rsidP="004B7B3F">
      <w:pPr>
        <w:spacing w:before="0" w:after="0"/>
        <w:jc w:val="both"/>
        <w:rPr>
          <w:rFonts w:eastAsia="Times New Roman"/>
          <w:b/>
          <w:bCs/>
          <w:color w:val="auto"/>
          <w:sz w:val="20"/>
          <w:szCs w:val="20"/>
        </w:rPr>
      </w:pPr>
    </w:p>
    <w:p w:rsidR="00214DD0" w:rsidRDefault="00214DD0" w:rsidP="004B7B3F">
      <w:pPr>
        <w:spacing w:before="0" w:after="0"/>
        <w:jc w:val="both"/>
        <w:rPr>
          <w:rFonts w:ascii="Tahoma" w:eastAsia="Times New Roman" w:hAnsi="Tahoma" w:cs="Tahoma"/>
          <w:b/>
          <w:bCs/>
          <w:color w:val="auto"/>
        </w:rPr>
      </w:pPr>
    </w:p>
    <w:p w:rsidR="00214DD0" w:rsidRDefault="00214DD0" w:rsidP="004B7B3F">
      <w:pPr>
        <w:spacing w:before="0" w:after="0"/>
        <w:jc w:val="both"/>
        <w:rPr>
          <w:rFonts w:ascii="Tahoma" w:eastAsia="Times New Roman" w:hAnsi="Tahoma" w:cs="Tahoma"/>
          <w:b/>
          <w:bCs/>
          <w:color w:val="auto"/>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lastRenderedPageBreak/>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4E1489" w:rsidRPr="00AA690A">
        <w:rPr>
          <w:rFonts w:ascii="Tahoma" w:hAnsi="Tahoma" w:cs="Tahoma"/>
        </w:rPr>
        <w:t>San Sebastián</w:t>
      </w:r>
      <w:r w:rsidR="004E1489">
        <w:rPr>
          <w:rFonts w:ascii="Tahoma" w:hAnsi="Tahoma" w:cs="Tahoma"/>
        </w:rPr>
        <w:t xml:space="preserve"> de Mariquita</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$96.652.500.oo</w:t>
      </w:r>
    </w:p>
    <w:p w:rsidR="00D34898" w:rsidRPr="00CA76CA" w:rsidRDefault="00D34898" w:rsidP="004B7B3F">
      <w:pPr>
        <w:spacing w:before="0" w:after="0"/>
        <w:jc w:val="both"/>
        <w:rPr>
          <w:rFonts w:ascii="Tahoma" w:eastAsia="Times New Roman" w:hAnsi="Tahoma" w:cs="Tahoma"/>
          <w:bCs/>
          <w:color w:val="auto"/>
        </w:rPr>
      </w:pPr>
    </w:p>
    <w:p w:rsidR="00F344D5" w:rsidRPr="00CA76CA" w:rsidRDefault="00F344D5"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Por</w:t>
      </w:r>
      <w:r w:rsidR="00D34898" w:rsidRPr="00CA76CA">
        <w:rPr>
          <w:rFonts w:ascii="Tahoma" w:eastAsia="Times New Roman" w:hAnsi="Tahoma" w:cs="Tahoma"/>
          <w:bCs/>
          <w:color w:val="auto"/>
        </w:rPr>
        <w:t xml:space="preserve"> lo anterior, se observó que la entidad Territorial, </w:t>
      </w:r>
      <w:r w:rsidRPr="00CA76CA">
        <w:rPr>
          <w:rFonts w:ascii="Tahoma" w:eastAsia="Times New Roman" w:hAnsi="Tahoma" w:cs="Tahoma"/>
          <w:bCs/>
          <w:color w:val="auto"/>
        </w:rPr>
        <w:t xml:space="preserve">cumplió con lo Establecido en la ley 617 de 2000, toda vez que le transfirió </w:t>
      </w:r>
      <w:r w:rsidR="00425FF4" w:rsidRPr="00CA76CA">
        <w:rPr>
          <w:rFonts w:ascii="Tahoma" w:eastAsia="Times New Roman" w:hAnsi="Tahoma" w:cs="Tahoma"/>
          <w:bCs/>
          <w:color w:val="auto"/>
        </w:rPr>
        <w:t xml:space="preserve">inicialmente </w:t>
      </w:r>
      <w:r w:rsidRPr="00CA76CA">
        <w:rPr>
          <w:rFonts w:ascii="Tahoma" w:eastAsia="Times New Roman" w:hAnsi="Tahoma" w:cs="Tahoma"/>
          <w:bCs/>
          <w:color w:val="auto"/>
        </w:rPr>
        <w:t xml:space="preserve">a la personería Municipal la suma de </w:t>
      </w:r>
      <w:r w:rsidR="00425FF4" w:rsidRPr="00CA76CA">
        <w:rPr>
          <w:rFonts w:ascii="Tahoma" w:eastAsia="Times New Roman" w:hAnsi="Tahoma" w:cs="Tahoma"/>
          <w:bCs/>
          <w:color w:val="auto"/>
        </w:rPr>
        <w:t>$9</w:t>
      </w:r>
      <w:r w:rsidR="002A128C">
        <w:rPr>
          <w:rFonts w:ascii="Tahoma" w:eastAsia="Times New Roman" w:hAnsi="Tahoma" w:cs="Tahoma"/>
          <w:bCs/>
          <w:color w:val="auto"/>
        </w:rPr>
        <w:t>2</w:t>
      </w:r>
      <w:r w:rsidR="00425FF4" w:rsidRPr="00CA76CA">
        <w:rPr>
          <w:rFonts w:ascii="Tahoma" w:eastAsia="Times New Roman" w:hAnsi="Tahoma" w:cs="Tahoma"/>
          <w:bCs/>
          <w:color w:val="auto"/>
        </w:rPr>
        <w:t xml:space="preserve"> millones y presentó adiciones presupuestales en la suma de $</w:t>
      </w:r>
      <w:r w:rsidR="00FD777A">
        <w:rPr>
          <w:rFonts w:ascii="Tahoma" w:eastAsia="Times New Roman" w:hAnsi="Tahoma" w:cs="Tahoma"/>
          <w:bCs/>
          <w:color w:val="auto"/>
        </w:rPr>
        <w:t>4</w:t>
      </w:r>
      <w:r w:rsidR="00B401FB">
        <w:rPr>
          <w:rFonts w:ascii="Tahoma" w:eastAsia="Times New Roman" w:hAnsi="Tahoma" w:cs="Tahoma"/>
          <w:bCs/>
          <w:color w:val="auto"/>
        </w:rPr>
        <w:t xml:space="preserve"> </w:t>
      </w:r>
      <w:r w:rsidR="00425FF4" w:rsidRPr="00CA76CA">
        <w:rPr>
          <w:rFonts w:ascii="Tahoma" w:eastAsia="Times New Roman" w:hAnsi="Tahoma" w:cs="Tahoma"/>
          <w:bCs/>
          <w:color w:val="auto"/>
        </w:rPr>
        <w:t xml:space="preserve">millones para un presupuesto definitivo de </w:t>
      </w:r>
      <w:r w:rsidRPr="00CA76CA">
        <w:rPr>
          <w:rFonts w:ascii="Tahoma" w:eastAsia="Times New Roman" w:hAnsi="Tahoma" w:cs="Tahoma"/>
          <w:bCs/>
          <w:color w:val="auto"/>
        </w:rPr>
        <w:t>$</w:t>
      </w:r>
      <w:r w:rsidR="00D34898" w:rsidRPr="00CA76CA">
        <w:rPr>
          <w:rFonts w:ascii="Tahoma" w:eastAsia="Times New Roman" w:hAnsi="Tahoma" w:cs="Tahoma"/>
          <w:bCs/>
          <w:color w:val="auto"/>
        </w:rPr>
        <w:t>96</w:t>
      </w:r>
      <w:r w:rsidR="00425FF4" w:rsidRPr="00CA76CA">
        <w:rPr>
          <w:rFonts w:ascii="Tahoma" w:eastAsia="Times New Roman" w:hAnsi="Tahoma" w:cs="Tahoma"/>
          <w:bCs/>
          <w:color w:val="auto"/>
        </w:rPr>
        <w:t xml:space="preserve"> millones</w:t>
      </w:r>
      <w:r w:rsidRPr="00CA76CA">
        <w:rPr>
          <w:rFonts w:ascii="Tahoma" w:eastAsia="Times New Roman" w:hAnsi="Tahoma" w:cs="Tahoma"/>
          <w:bCs/>
          <w:color w:val="auto"/>
        </w:rPr>
        <w:t xml:space="preserve">,  equivalentes a </w:t>
      </w:r>
      <w:r w:rsidR="00D34898" w:rsidRPr="00CA76CA">
        <w:rPr>
          <w:rFonts w:ascii="Tahoma" w:eastAsia="Times New Roman" w:hAnsi="Tahoma" w:cs="Tahoma"/>
          <w:bCs/>
          <w:color w:val="auto"/>
        </w:rPr>
        <w:t>150</w:t>
      </w:r>
      <w:r w:rsidRPr="00CA76CA">
        <w:rPr>
          <w:rFonts w:ascii="Tahoma" w:eastAsia="Times New Roman" w:hAnsi="Tahoma" w:cs="Tahoma"/>
          <w:bCs/>
          <w:color w:val="auto"/>
        </w:rPr>
        <w:t xml:space="preserve"> SM</w:t>
      </w:r>
      <w:r w:rsidR="00D34898" w:rsidRPr="00CA76CA">
        <w:rPr>
          <w:rFonts w:ascii="Tahoma" w:eastAsia="Times New Roman" w:hAnsi="Tahoma" w:cs="Tahoma"/>
          <w:bCs/>
          <w:color w:val="auto"/>
        </w:rPr>
        <w:t>M</w:t>
      </w:r>
      <w:r w:rsidR="00425FF4" w:rsidRPr="00CA76CA">
        <w:rPr>
          <w:rFonts w:ascii="Tahoma" w:eastAsia="Times New Roman" w:hAnsi="Tahoma" w:cs="Tahoma"/>
          <w:bCs/>
          <w:color w:val="auto"/>
        </w:rPr>
        <w:t>V, ver tabla.</w:t>
      </w:r>
    </w:p>
    <w:p w:rsidR="00425FF4" w:rsidRPr="00A05F58" w:rsidRDefault="00425FF4" w:rsidP="004B7B3F">
      <w:pPr>
        <w:spacing w:before="0" w:after="0"/>
        <w:jc w:val="both"/>
        <w:rPr>
          <w:rFonts w:eastAsia="Times New Roman"/>
          <w:bCs/>
          <w:color w:val="auto"/>
          <w:sz w:val="20"/>
          <w:szCs w:val="20"/>
        </w:rPr>
      </w:pPr>
    </w:p>
    <w:p w:rsidR="00B212CE" w:rsidRPr="00776215" w:rsidRDefault="00FD777A" w:rsidP="00B212CE">
      <w:pPr>
        <w:jc w:val="center"/>
        <w:rPr>
          <w:rFonts w:ascii="Tahoma" w:hAnsi="Tahoma" w:cs="Tahoma"/>
          <w:lang w:val="es-ES" w:eastAsia="es-ES"/>
        </w:rPr>
      </w:pPr>
      <w:r w:rsidRPr="00FD777A">
        <w:rPr>
          <w:noProof/>
        </w:rPr>
        <w:drawing>
          <wp:inline distT="0" distB="0" distL="0" distR="0" wp14:anchorId="75249E47" wp14:editId="18D903DB">
            <wp:extent cx="5593080" cy="518160"/>
            <wp:effectExtent l="0" t="0" r="762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12130" cy="519925"/>
                    </a:xfrm>
                    <a:prstGeom prst="rect">
                      <a:avLst/>
                    </a:prstGeom>
                  </pic:spPr>
                </pic:pic>
              </a:graphicData>
            </a:graphic>
          </wp:inline>
        </w:drawing>
      </w:r>
    </w:p>
    <w:p w:rsidR="002A128C" w:rsidRDefault="002A128C" w:rsidP="00B212CE">
      <w:pPr>
        <w:spacing w:before="0" w:after="0"/>
        <w:jc w:val="center"/>
        <w:rPr>
          <w:rFonts w:ascii="Tahoma" w:hAnsi="Tahoma" w:cs="Tahoma"/>
          <w:b/>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B212CE" w:rsidRPr="00776215" w:rsidRDefault="008C7A2F" w:rsidP="008C7A2F">
      <w:pPr>
        <w:rPr>
          <w:rFonts w:ascii="Tahoma" w:hAnsi="Tahoma" w:cs="Tahoma"/>
          <w:b/>
          <w:lang w:val="es-ES" w:eastAsia="es-ES"/>
        </w:rPr>
      </w:pPr>
      <w:r w:rsidRPr="00776215">
        <w:rPr>
          <w:rFonts w:ascii="Tahoma" w:hAnsi="Tahoma" w:cs="Tahoma"/>
          <w:b/>
          <w:lang w:val="es-ES" w:eastAsia="es-ES"/>
        </w:rPr>
        <w:t xml:space="preserve">4.1  </w:t>
      </w:r>
      <w:r w:rsidR="00B212CE" w:rsidRPr="00776215">
        <w:rPr>
          <w:rFonts w:ascii="Tahoma" w:hAnsi="Tahoma" w:cs="Tahoma"/>
          <w:b/>
          <w:lang w:val="es-ES" w:eastAsia="es-ES"/>
        </w:rPr>
        <w:t>RESULTADO DEL ANALISIS</w:t>
      </w:r>
      <w:r w:rsidRPr="00776215">
        <w:rPr>
          <w:rFonts w:ascii="Tahoma" w:hAnsi="Tahoma" w:cs="Tahoma"/>
          <w:b/>
          <w:lang w:val="es-ES" w:eastAsia="es-ES"/>
        </w:rPr>
        <w:t xml:space="preserve"> INDICADOR LEY 617 DE 2000</w:t>
      </w:r>
    </w:p>
    <w:p w:rsidR="00BD4C82" w:rsidRDefault="00B212CE" w:rsidP="00776215">
      <w:pPr>
        <w:jc w:val="both"/>
        <w:rPr>
          <w:rFonts w:ascii="Tahoma" w:hAnsi="Tahoma" w:cs="Tahoma"/>
        </w:rPr>
      </w:pPr>
      <w:r w:rsidRPr="00776215">
        <w:rPr>
          <w:rFonts w:ascii="Tahoma" w:hAnsi="Tahoma" w:cs="Tahoma"/>
        </w:rPr>
        <w:t xml:space="preserve">Como resultado de la evaluación realizada por La Contraloría </w:t>
      </w:r>
      <w:r w:rsidR="00F344D5" w:rsidRPr="00776215">
        <w:rPr>
          <w:rFonts w:ascii="Tahoma" w:hAnsi="Tahoma" w:cs="Tahoma"/>
        </w:rPr>
        <w:t>Departamental del Tolima</w:t>
      </w:r>
      <w:r w:rsidRPr="00776215">
        <w:rPr>
          <w:rFonts w:ascii="Tahoma" w:hAnsi="Tahoma" w:cs="Tahoma"/>
        </w:rPr>
        <w:t xml:space="preserve">, se estableció que el </w:t>
      </w:r>
      <w:r w:rsidR="00F344D5" w:rsidRPr="00776215">
        <w:rPr>
          <w:rFonts w:ascii="Tahoma" w:hAnsi="Tahoma" w:cs="Tahoma"/>
        </w:rPr>
        <w:t>M</w:t>
      </w:r>
      <w:r w:rsidRPr="00776215">
        <w:rPr>
          <w:rFonts w:ascii="Tahoma" w:hAnsi="Tahoma" w:cs="Tahoma"/>
        </w:rPr>
        <w:t xml:space="preserve">unicipio de </w:t>
      </w:r>
      <w:r w:rsidR="005760BF" w:rsidRPr="00AA690A">
        <w:rPr>
          <w:rFonts w:ascii="Tahoma" w:hAnsi="Tahoma" w:cs="Tahoma"/>
        </w:rPr>
        <w:t>San Sebastián</w:t>
      </w:r>
      <w:r w:rsidR="005760BF">
        <w:rPr>
          <w:rFonts w:ascii="Tahoma" w:hAnsi="Tahoma" w:cs="Tahoma"/>
        </w:rPr>
        <w:t xml:space="preserve"> de Mariquita</w:t>
      </w:r>
      <w:r w:rsidR="00F344D5" w:rsidRPr="00776215">
        <w:rPr>
          <w:rFonts w:ascii="Tahoma" w:hAnsi="Tahoma" w:cs="Tahoma"/>
        </w:rPr>
        <w:t xml:space="preserve">, </w:t>
      </w:r>
      <w:r w:rsidRPr="00776215">
        <w:rPr>
          <w:rFonts w:ascii="Tahoma" w:hAnsi="Tahoma" w:cs="Tahoma"/>
        </w:rPr>
        <w:t xml:space="preserve">ha venido cumpliendo con el indicador de ley 617 de 2000 </w:t>
      </w:r>
      <w:r w:rsidR="00D534DF" w:rsidRPr="00776215">
        <w:rPr>
          <w:rFonts w:ascii="Tahoma" w:hAnsi="Tahoma" w:cs="Tahoma"/>
        </w:rPr>
        <w:t>en las últimas dos vigencias</w:t>
      </w:r>
      <w:r w:rsidR="009E0CF7">
        <w:rPr>
          <w:rFonts w:ascii="Tahoma" w:hAnsi="Tahoma" w:cs="Tahoma"/>
        </w:rPr>
        <w:t xml:space="preserve"> </w:t>
      </w:r>
      <w:r w:rsidR="00CA6D9C" w:rsidRPr="00776215">
        <w:rPr>
          <w:rFonts w:ascii="Tahoma" w:hAnsi="Tahoma" w:cs="Tahoma"/>
        </w:rPr>
        <w:t xml:space="preserve"> y el indicador de Gastos de Funcionamiento</w:t>
      </w:r>
      <w:r w:rsidR="00D05FE1">
        <w:rPr>
          <w:rFonts w:ascii="Tahoma" w:hAnsi="Tahoma" w:cs="Tahoma"/>
        </w:rPr>
        <w:t>. Ver tabla.</w:t>
      </w:r>
    </w:p>
    <w:p w:rsidR="00CA76CA" w:rsidRDefault="00C00289" w:rsidP="00C00289">
      <w:pPr>
        <w:jc w:val="center"/>
      </w:pPr>
      <w:r w:rsidRPr="00C00289">
        <w:rPr>
          <w:noProof/>
        </w:rPr>
        <w:drawing>
          <wp:inline distT="0" distB="0" distL="0" distR="0" wp14:anchorId="76236338" wp14:editId="46A25CE5">
            <wp:extent cx="3916680" cy="2011680"/>
            <wp:effectExtent l="0" t="0" r="7620" b="762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917020" cy="2011855"/>
                    </a:xfrm>
                    <a:prstGeom prst="rect">
                      <a:avLst/>
                    </a:prstGeom>
                  </pic:spPr>
                </pic:pic>
              </a:graphicData>
            </a:graphic>
          </wp:inline>
        </w:drawing>
      </w:r>
    </w:p>
    <w:p w:rsidR="008C7A2F" w:rsidRDefault="00D05FE1" w:rsidP="00AC4CBD">
      <w:pPr>
        <w:jc w:val="both"/>
      </w:pPr>
      <w:r>
        <w:lastRenderedPageBreak/>
        <w:t>A pesar que el ente Territorial ha venido cumpliendo con el indicador de Ley 617 de 2000, se observó que</w:t>
      </w:r>
      <w:r w:rsidR="000F669B">
        <w:t xml:space="preserve"> este</w:t>
      </w:r>
      <w:r>
        <w:t xml:space="preserve"> </w:t>
      </w:r>
      <w:r w:rsidR="00F95E8D">
        <w:t xml:space="preserve">se encuentra </w:t>
      </w:r>
      <w:r w:rsidR="001663AE">
        <w:t>e</w:t>
      </w:r>
      <w:r w:rsidR="00F95E8D">
        <w:t>n riesgo</w:t>
      </w:r>
      <w:r w:rsidR="00AC4CBD">
        <w:t xml:space="preserve"> de perder categor</w:t>
      </w:r>
      <w:r w:rsidR="005105EA">
        <w:t>ía y de  adoptar un programa de Saneamiento Fiscal</w:t>
      </w:r>
      <w:r w:rsidR="00F95E8D">
        <w:t>, toda vez que los ing</w:t>
      </w:r>
      <w:r w:rsidR="001663AE">
        <w:t>resos corrientes disminuyeron  en un 5.51% y los gastos de funcionamiento aumentaron en un 16.78%</w:t>
      </w:r>
      <w:r w:rsidR="005105EA">
        <w:t>, igualmente</w:t>
      </w:r>
      <w:r w:rsidR="000F669B">
        <w:t xml:space="preserve"> el indicador de Ley 617 de 2000</w:t>
      </w:r>
      <w:r w:rsidR="00AC4CBD">
        <w:t xml:space="preserve"> aumentó en un 23.74% </w:t>
      </w:r>
      <w:r w:rsidR="001663AE">
        <w:t>con relación a la vigencia 2014</w:t>
      </w:r>
      <w:r w:rsidR="00AC4CBD">
        <w:t>.</w:t>
      </w:r>
    </w:p>
    <w:p w:rsidR="005105EA" w:rsidRDefault="005105EA" w:rsidP="00AC4CBD">
      <w:pPr>
        <w:jc w:val="both"/>
      </w:pPr>
    </w:p>
    <w:p w:rsidR="00477304" w:rsidRPr="00CA76CA" w:rsidRDefault="008C7A2F" w:rsidP="00B212CE">
      <w:pPr>
        <w:rPr>
          <w:rFonts w:ascii="Tahoma" w:hAnsi="Tahoma" w:cs="Tahoma"/>
          <w:b/>
        </w:rPr>
      </w:pPr>
      <w:r w:rsidRPr="00CA76CA">
        <w:rPr>
          <w:rFonts w:ascii="Tahoma" w:hAnsi="Tahoma" w:cs="Tahoma"/>
          <w:b/>
        </w:rPr>
        <w:t>4.2 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B44FE7" w:rsidRPr="00AA690A">
        <w:rPr>
          <w:rFonts w:ascii="Tahoma" w:hAnsi="Tahoma" w:cs="Tahoma"/>
        </w:rPr>
        <w:t>San Sebastián</w:t>
      </w:r>
      <w:r w:rsidR="00B44FE7">
        <w:rPr>
          <w:rFonts w:ascii="Tahoma" w:hAnsi="Tahoma" w:cs="Tahoma"/>
        </w:rPr>
        <w:t xml:space="preserve"> de Mariquita</w:t>
      </w:r>
      <w:r w:rsidRPr="00CA76CA">
        <w:rPr>
          <w:rFonts w:ascii="Tahoma" w:hAnsi="Tahoma" w:cs="Tahoma"/>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un  Superávit</w:t>
      </w:r>
      <w:r w:rsidR="004F7914" w:rsidRPr="00CA76CA">
        <w:rPr>
          <w:rFonts w:ascii="Tahoma" w:hAnsi="Tahoma" w:cs="Tahoma"/>
        </w:rPr>
        <w:t xml:space="preserve"> presupuestal en la suma de $</w:t>
      </w:r>
      <w:r w:rsidR="00B44FE7">
        <w:rPr>
          <w:rFonts w:ascii="Tahoma" w:hAnsi="Tahoma" w:cs="Tahoma"/>
        </w:rPr>
        <w:t>534.387.748</w:t>
      </w:r>
      <w:r w:rsidR="004F7914" w:rsidRPr="00CA76CA">
        <w:rPr>
          <w:rFonts w:ascii="Tahoma" w:hAnsi="Tahoma" w:cs="Tahoma"/>
        </w:rPr>
        <w:t>.oo, toda vez que el Total de los Gastos comprometidos</w:t>
      </w:r>
      <w:r w:rsidR="00E52376">
        <w:rPr>
          <w:rFonts w:ascii="Tahoma" w:hAnsi="Tahoma" w:cs="Tahoma"/>
        </w:rPr>
        <w:t xml:space="preserve"> de la vigencia</w:t>
      </w:r>
      <w:r w:rsidR="004F7914" w:rsidRPr="00CA76CA">
        <w:rPr>
          <w:rFonts w:ascii="Tahoma" w:hAnsi="Tahoma" w:cs="Tahoma"/>
        </w:rPr>
        <w:t>,  fueron m</w:t>
      </w:r>
      <w:r w:rsidR="0000509C">
        <w:rPr>
          <w:rFonts w:ascii="Tahoma" w:hAnsi="Tahoma" w:cs="Tahoma"/>
        </w:rPr>
        <w:t>enor</w:t>
      </w:r>
      <w:r w:rsidR="004F7914" w:rsidRPr="00CA76CA">
        <w:rPr>
          <w:rFonts w:ascii="Tahoma" w:hAnsi="Tahoma" w:cs="Tahoma"/>
        </w:rPr>
        <w:t>es a los ingresos efectivamente recaudados.  Ver Tabla.</w:t>
      </w:r>
    </w:p>
    <w:p w:rsidR="008C7A2F" w:rsidRDefault="008C7A2F" w:rsidP="00B212CE"/>
    <w:tbl>
      <w:tblPr>
        <w:tblW w:w="5980" w:type="dxa"/>
        <w:jc w:val="center"/>
        <w:tblCellMar>
          <w:left w:w="70" w:type="dxa"/>
          <w:right w:w="70" w:type="dxa"/>
        </w:tblCellMar>
        <w:tblLook w:val="04A0" w:firstRow="1" w:lastRow="0" w:firstColumn="1" w:lastColumn="0" w:noHBand="0" w:noVBand="1"/>
      </w:tblPr>
      <w:tblGrid>
        <w:gridCol w:w="2480"/>
        <w:gridCol w:w="1820"/>
        <w:gridCol w:w="1680"/>
      </w:tblGrid>
      <w:tr w:rsidR="00B44FE7" w:rsidRPr="00B44FE7" w:rsidTr="00B44FE7">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B44FE7">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B44FE7">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Pr="00B44FE7">
              <w:rPr>
                <w:rFonts w:ascii="Tahoma" w:eastAsia="Times New Roman" w:hAnsi="Tahoma" w:cs="Tahoma"/>
                <w:color w:val="auto"/>
                <w:sz w:val="20"/>
                <w:szCs w:val="20"/>
              </w:rPr>
              <w:t>34</w:t>
            </w:r>
            <w:r>
              <w:rPr>
                <w:rFonts w:ascii="Tahoma" w:eastAsia="Times New Roman" w:hAnsi="Tahoma" w:cs="Tahoma"/>
                <w:color w:val="auto"/>
                <w:sz w:val="20"/>
                <w:szCs w:val="20"/>
              </w:rPr>
              <w:t>.</w:t>
            </w:r>
            <w:r w:rsidRPr="00B44FE7">
              <w:rPr>
                <w:rFonts w:ascii="Tahoma" w:eastAsia="Times New Roman" w:hAnsi="Tahoma" w:cs="Tahoma"/>
                <w:color w:val="auto"/>
                <w:sz w:val="20"/>
                <w:szCs w:val="20"/>
              </w:rPr>
              <w:t>626</w:t>
            </w:r>
            <w:r>
              <w:rPr>
                <w:rFonts w:ascii="Tahoma" w:eastAsia="Times New Roman" w:hAnsi="Tahoma" w:cs="Tahoma"/>
                <w:color w:val="auto"/>
                <w:sz w:val="20"/>
                <w:szCs w:val="20"/>
              </w:rPr>
              <w:t>.</w:t>
            </w:r>
            <w:r w:rsidRPr="00B44FE7">
              <w:rPr>
                <w:rFonts w:ascii="Tahoma" w:eastAsia="Times New Roman" w:hAnsi="Tahoma" w:cs="Tahoma"/>
                <w:color w:val="auto"/>
                <w:sz w:val="20"/>
                <w:szCs w:val="20"/>
              </w:rPr>
              <w:t>507</w:t>
            </w:r>
            <w:r>
              <w:rPr>
                <w:rFonts w:ascii="Tahoma" w:eastAsia="Times New Roman" w:hAnsi="Tahoma" w:cs="Tahoma"/>
                <w:color w:val="auto"/>
                <w:sz w:val="20"/>
                <w:szCs w:val="20"/>
              </w:rPr>
              <w:t>.</w:t>
            </w:r>
            <w:r w:rsidRPr="00B44FE7">
              <w:rPr>
                <w:rFonts w:ascii="Tahoma" w:eastAsia="Times New Roman" w:hAnsi="Tahoma" w:cs="Tahoma"/>
                <w:color w:val="auto"/>
                <w:sz w:val="20"/>
                <w:szCs w:val="20"/>
              </w:rPr>
              <w:t xml:space="preserve">260 </w:t>
            </w:r>
          </w:p>
        </w:tc>
        <w:tc>
          <w:tcPr>
            <w:tcW w:w="182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B44FE7">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Pr="00B44FE7">
              <w:rPr>
                <w:rFonts w:ascii="Tahoma" w:eastAsia="Times New Roman" w:hAnsi="Tahoma" w:cs="Tahoma"/>
                <w:color w:val="auto"/>
                <w:sz w:val="20"/>
                <w:szCs w:val="20"/>
              </w:rPr>
              <w:t>34</w:t>
            </w:r>
            <w:r>
              <w:rPr>
                <w:rFonts w:ascii="Tahoma" w:eastAsia="Times New Roman" w:hAnsi="Tahoma" w:cs="Tahoma"/>
                <w:color w:val="auto"/>
                <w:sz w:val="20"/>
                <w:szCs w:val="20"/>
              </w:rPr>
              <w:t>.</w:t>
            </w:r>
            <w:r w:rsidRPr="00B44FE7">
              <w:rPr>
                <w:rFonts w:ascii="Tahoma" w:eastAsia="Times New Roman" w:hAnsi="Tahoma" w:cs="Tahoma"/>
                <w:color w:val="auto"/>
                <w:sz w:val="20"/>
                <w:szCs w:val="20"/>
              </w:rPr>
              <w:t>092</w:t>
            </w:r>
            <w:r>
              <w:rPr>
                <w:rFonts w:ascii="Tahoma" w:eastAsia="Times New Roman" w:hAnsi="Tahoma" w:cs="Tahoma"/>
                <w:color w:val="auto"/>
                <w:sz w:val="20"/>
                <w:szCs w:val="20"/>
              </w:rPr>
              <w:t>.</w:t>
            </w:r>
            <w:r w:rsidRPr="00B44FE7">
              <w:rPr>
                <w:rFonts w:ascii="Tahoma" w:eastAsia="Times New Roman" w:hAnsi="Tahoma" w:cs="Tahoma"/>
                <w:color w:val="auto"/>
                <w:sz w:val="20"/>
                <w:szCs w:val="20"/>
              </w:rPr>
              <w:t>119</w:t>
            </w:r>
            <w:r>
              <w:rPr>
                <w:rFonts w:ascii="Tahoma" w:eastAsia="Times New Roman" w:hAnsi="Tahoma" w:cs="Tahoma"/>
                <w:color w:val="auto"/>
                <w:sz w:val="20"/>
                <w:szCs w:val="20"/>
              </w:rPr>
              <w:t>.</w:t>
            </w:r>
            <w:r w:rsidRPr="00B44FE7">
              <w:rPr>
                <w:rFonts w:ascii="Tahoma" w:eastAsia="Times New Roman" w:hAnsi="Tahoma" w:cs="Tahoma"/>
                <w:color w:val="auto"/>
                <w:sz w:val="20"/>
                <w:szCs w:val="20"/>
              </w:rPr>
              <w:t xml:space="preserve">512 </w:t>
            </w:r>
          </w:p>
        </w:tc>
        <w:tc>
          <w:tcPr>
            <w:tcW w:w="168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B44FE7">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Pr="00B44FE7">
              <w:rPr>
                <w:rFonts w:ascii="Tahoma" w:eastAsia="Times New Roman" w:hAnsi="Tahoma" w:cs="Tahoma"/>
                <w:color w:val="auto"/>
                <w:sz w:val="20"/>
                <w:szCs w:val="20"/>
              </w:rPr>
              <w:t>534</w:t>
            </w:r>
            <w:r>
              <w:rPr>
                <w:rFonts w:ascii="Tahoma" w:eastAsia="Times New Roman" w:hAnsi="Tahoma" w:cs="Tahoma"/>
                <w:color w:val="auto"/>
                <w:sz w:val="20"/>
                <w:szCs w:val="20"/>
              </w:rPr>
              <w:t>.</w:t>
            </w:r>
            <w:r w:rsidRPr="00B44FE7">
              <w:rPr>
                <w:rFonts w:ascii="Tahoma" w:eastAsia="Times New Roman" w:hAnsi="Tahoma" w:cs="Tahoma"/>
                <w:color w:val="auto"/>
                <w:sz w:val="20"/>
                <w:szCs w:val="20"/>
              </w:rPr>
              <w:t>387</w:t>
            </w:r>
            <w:r>
              <w:rPr>
                <w:rFonts w:ascii="Tahoma" w:eastAsia="Times New Roman" w:hAnsi="Tahoma" w:cs="Tahoma"/>
                <w:color w:val="auto"/>
                <w:sz w:val="20"/>
                <w:szCs w:val="20"/>
              </w:rPr>
              <w:t>.</w:t>
            </w:r>
            <w:r w:rsidRPr="00B44FE7">
              <w:rPr>
                <w:rFonts w:ascii="Tahoma" w:eastAsia="Times New Roman" w:hAnsi="Tahoma" w:cs="Tahoma"/>
                <w:color w:val="auto"/>
                <w:sz w:val="20"/>
                <w:szCs w:val="20"/>
              </w:rPr>
              <w:t xml:space="preserve">748 </w:t>
            </w:r>
          </w:p>
        </w:tc>
      </w:tr>
    </w:tbl>
    <w:p w:rsidR="00477304" w:rsidRDefault="00477304" w:rsidP="00B212CE"/>
    <w:p w:rsidR="004F7914" w:rsidRPr="00CA76CA" w:rsidRDefault="00BD4C82" w:rsidP="00CA76CA">
      <w:pPr>
        <w:jc w:val="both"/>
        <w:rPr>
          <w:rFonts w:ascii="Tahoma" w:hAnsi="Tahoma" w:cs="Tahoma"/>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p>
    <w:p w:rsidR="004F7914" w:rsidRPr="00CA76CA" w:rsidRDefault="004F7914" w:rsidP="00B212CE">
      <w:pPr>
        <w:rPr>
          <w:rFonts w:ascii="Tahoma" w:hAnsi="Tahoma" w:cs="Tahoma"/>
        </w:rPr>
      </w:pPr>
    </w:p>
    <w:p w:rsidR="008C00FD" w:rsidRPr="00CA76CA" w:rsidRDefault="00BD4C82" w:rsidP="00B212CE">
      <w:pPr>
        <w:rPr>
          <w:rFonts w:ascii="Tahoma" w:hAnsi="Tahoma" w:cs="Tahoma"/>
          <w:b/>
        </w:rPr>
      </w:pPr>
      <w:r w:rsidRPr="00CA76CA">
        <w:rPr>
          <w:rFonts w:ascii="Tahoma" w:hAnsi="Tahoma" w:cs="Tahoma"/>
          <w:b/>
        </w:rPr>
        <w:t>RECOMENDACIONES</w:t>
      </w:r>
    </w:p>
    <w:p w:rsidR="008C00FD" w:rsidRPr="00CA76CA" w:rsidRDefault="008C00FD" w:rsidP="00B212CE">
      <w:pPr>
        <w:rPr>
          <w:rFonts w:ascii="Tahoma" w:hAnsi="Tahoma" w:cs="Tahoma"/>
        </w:rPr>
      </w:pPr>
    </w:p>
    <w:p w:rsidR="00FE1BB9" w:rsidRPr="00CA76CA" w:rsidRDefault="00D51763" w:rsidP="00D51763">
      <w:pPr>
        <w:jc w:val="both"/>
        <w:rPr>
          <w:rFonts w:ascii="Tahoma" w:hAnsi="Tahoma" w:cs="Tahoma"/>
        </w:rPr>
      </w:pPr>
      <w:r w:rsidRPr="00CA76CA">
        <w:rPr>
          <w:rFonts w:ascii="Tahoma" w:hAnsi="Tahoma" w:cs="Tahoma"/>
        </w:rPr>
        <w:t xml:space="preserve">Se recomienda hacer </w:t>
      </w:r>
      <w:r w:rsidR="00FE1BB9" w:rsidRPr="00CA76CA">
        <w:rPr>
          <w:rFonts w:ascii="Tahoma" w:hAnsi="Tahoma" w:cs="Tahoma"/>
        </w:rPr>
        <w:t xml:space="preserve">una mejor planeación, </w:t>
      </w:r>
      <w:r w:rsidRPr="00CA76CA">
        <w:rPr>
          <w:rFonts w:ascii="Tahoma" w:hAnsi="Tahoma" w:cs="Tahoma"/>
        </w:rPr>
        <w:t>un</w:t>
      </w:r>
      <w:r w:rsidR="00FE1BB9" w:rsidRPr="00CA76CA">
        <w:rPr>
          <w:rFonts w:ascii="Tahoma" w:hAnsi="Tahoma" w:cs="Tahoma"/>
        </w:rPr>
        <w:t>a</w:t>
      </w:r>
      <w:r w:rsidRPr="00CA76CA">
        <w:rPr>
          <w:rFonts w:ascii="Tahoma" w:hAnsi="Tahoma" w:cs="Tahoma"/>
        </w:rPr>
        <w:t xml:space="preserve"> mayor racionalización del Gasto,</w:t>
      </w:r>
      <w:r w:rsidR="008D04FA">
        <w:rPr>
          <w:rFonts w:ascii="Tahoma" w:hAnsi="Tahoma" w:cs="Tahoma"/>
        </w:rPr>
        <w:t xml:space="preserve"> </w:t>
      </w:r>
      <w:r w:rsidR="00FE1BB9" w:rsidRPr="00CA76CA">
        <w:rPr>
          <w:rFonts w:ascii="Tahoma" w:hAnsi="Tahoma" w:cs="Tahoma"/>
        </w:rPr>
        <w:t>fortalecer el recaudo y el cobro coactivo y reducir los gastos de funcionamiento, con el fin de mejorar indicadores y mostrar una mejor eficiencia fiscal.</w:t>
      </w:r>
    </w:p>
    <w:p w:rsidR="005C0DCB" w:rsidRDefault="005C0DCB" w:rsidP="005C0DCB">
      <w:pPr>
        <w:spacing w:before="0" w:after="0" w:line="228" w:lineRule="auto"/>
        <w:jc w:val="both"/>
      </w:pPr>
    </w:p>
    <w:p w:rsidR="005C0DCB" w:rsidRDefault="005C0DCB" w:rsidP="005C0DCB">
      <w:pPr>
        <w:tabs>
          <w:tab w:val="left" w:pos="6480"/>
        </w:tabs>
        <w:spacing w:before="0" w:after="0" w:line="228" w:lineRule="auto"/>
        <w:rPr>
          <w:rFonts w:ascii="Tahoma" w:hAnsi="Tahoma" w:cs="Tahoma"/>
          <w:b/>
          <w:sz w:val="16"/>
        </w:rPr>
      </w:pPr>
      <w:r>
        <w:rPr>
          <w:rFonts w:ascii="Tahoma" w:hAnsi="Tahoma" w:cs="Tahoma"/>
          <w:b/>
          <w:sz w:val="16"/>
        </w:rPr>
        <w:tab/>
      </w:r>
    </w:p>
    <w:sectPr w:rsidR="005C0DCB" w:rsidSect="00E566A8">
      <w:headerReference w:type="default" r:id="rId26"/>
      <w:footerReference w:type="default" r:id="rId27"/>
      <w:pgSz w:w="12242" w:h="15842" w:code="1"/>
      <w:pgMar w:top="2268" w:right="1701" w:bottom="2836"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BBA" w:rsidRDefault="00284BBA" w:rsidP="00650A99">
      <w:r>
        <w:separator/>
      </w:r>
    </w:p>
  </w:endnote>
  <w:endnote w:type="continuationSeparator" w:id="0">
    <w:p w:rsidR="00284BBA" w:rsidRDefault="00284BBA"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3C7B4A50" wp14:editId="60DEA3D8">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C2296A"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B4A50"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C2296A"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58408BEE" wp14:editId="3F4509F8">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763FDB"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C2296A" w:rsidRPr="00C2296A">
                            <w:rPr>
                              <w:rFonts w:ascii="Tahoma" w:hAnsi="Tahoma" w:cs="Tahoma"/>
                              <w:noProof/>
                              <w:sz w:val="14"/>
                              <w:szCs w:val="16"/>
                              <w:lang w:val="es-ES"/>
                            </w:rPr>
                            <w:t>10</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C2296A" w:rsidRPr="00C2296A">
                            <w:rPr>
                              <w:rFonts w:ascii="Tahoma" w:hAnsi="Tahoma" w:cs="Tahoma"/>
                              <w:noProof/>
                              <w:sz w:val="14"/>
                              <w:szCs w:val="16"/>
                              <w:lang w:val="es-ES"/>
                            </w:rPr>
                            <w:t>18</w:t>
                          </w:r>
                          <w:r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08BEE"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763FDB"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C2296A" w:rsidRPr="00C2296A">
                      <w:rPr>
                        <w:rFonts w:ascii="Tahoma" w:hAnsi="Tahoma" w:cs="Tahoma"/>
                        <w:noProof/>
                        <w:sz w:val="14"/>
                        <w:szCs w:val="16"/>
                        <w:lang w:val="es-ES"/>
                      </w:rPr>
                      <w:t>10</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C2296A" w:rsidRPr="00C2296A">
                      <w:rPr>
                        <w:rFonts w:ascii="Tahoma" w:hAnsi="Tahoma" w:cs="Tahoma"/>
                        <w:noProof/>
                        <w:sz w:val="14"/>
                        <w:szCs w:val="16"/>
                        <w:lang w:val="es-ES"/>
                      </w:rPr>
                      <w:t>18</w:t>
                    </w:r>
                    <w:r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BBA" w:rsidRDefault="00284BBA" w:rsidP="00650A99">
      <w:r>
        <w:separator/>
      </w:r>
    </w:p>
  </w:footnote>
  <w:footnote w:type="continuationSeparator" w:id="0">
    <w:p w:rsidR="00284BBA" w:rsidRDefault="00284BBA"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763FDB">
    <w:pPr>
      <w:pStyle w:val="Encabezado"/>
      <w:rPr>
        <w:rFonts w:ascii="Tahoma" w:hAnsi="Tahoma" w:cs="Tahoma"/>
        <w:sz w:val="8"/>
      </w:rPr>
    </w:pPr>
  </w:p>
  <w:p w:rsidR="00763FDB" w:rsidRDefault="00B2315E">
    <w:pPr>
      <w:pStyle w:val="Encabezado"/>
    </w:pPr>
    <w:r>
      <w:rPr>
        <w:noProof/>
      </w:rPr>
      <w:drawing>
        <wp:inline distT="0" distB="0" distL="0" distR="0">
          <wp:extent cx="1571625" cy="1219200"/>
          <wp:effectExtent l="0" t="0" r="9525"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08F4"/>
    <w:rsid w:val="00001B0E"/>
    <w:rsid w:val="0000466A"/>
    <w:rsid w:val="00004FE1"/>
    <w:rsid w:val="0000509C"/>
    <w:rsid w:val="00014DDB"/>
    <w:rsid w:val="000229B5"/>
    <w:rsid w:val="00025419"/>
    <w:rsid w:val="000344EC"/>
    <w:rsid w:val="0003468E"/>
    <w:rsid w:val="000352F0"/>
    <w:rsid w:val="0003642F"/>
    <w:rsid w:val="000367BB"/>
    <w:rsid w:val="00040B1A"/>
    <w:rsid w:val="00043E5E"/>
    <w:rsid w:val="000448FA"/>
    <w:rsid w:val="00044B50"/>
    <w:rsid w:val="000479B3"/>
    <w:rsid w:val="00054A9B"/>
    <w:rsid w:val="00054CD9"/>
    <w:rsid w:val="0006131A"/>
    <w:rsid w:val="00062C97"/>
    <w:rsid w:val="000653AB"/>
    <w:rsid w:val="00070555"/>
    <w:rsid w:val="000711BD"/>
    <w:rsid w:val="000714F0"/>
    <w:rsid w:val="0007281C"/>
    <w:rsid w:val="00072FEB"/>
    <w:rsid w:val="00073152"/>
    <w:rsid w:val="00074463"/>
    <w:rsid w:val="00075575"/>
    <w:rsid w:val="00081209"/>
    <w:rsid w:val="00081BF9"/>
    <w:rsid w:val="00084A9E"/>
    <w:rsid w:val="00084FFA"/>
    <w:rsid w:val="00093AFB"/>
    <w:rsid w:val="00094D4C"/>
    <w:rsid w:val="000A1063"/>
    <w:rsid w:val="000B1067"/>
    <w:rsid w:val="000B2584"/>
    <w:rsid w:val="000B334F"/>
    <w:rsid w:val="000B45AA"/>
    <w:rsid w:val="000C19B8"/>
    <w:rsid w:val="000C2D28"/>
    <w:rsid w:val="000C524A"/>
    <w:rsid w:val="000C640F"/>
    <w:rsid w:val="000C699D"/>
    <w:rsid w:val="000D251E"/>
    <w:rsid w:val="000D715E"/>
    <w:rsid w:val="000E117C"/>
    <w:rsid w:val="000E1A99"/>
    <w:rsid w:val="000E644B"/>
    <w:rsid w:val="000E6AAA"/>
    <w:rsid w:val="000F17B4"/>
    <w:rsid w:val="000F2E89"/>
    <w:rsid w:val="000F4FA1"/>
    <w:rsid w:val="000F5879"/>
    <w:rsid w:val="000F669B"/>
    <w:rsid w:val="0010414B"/>
    <w:rsid w:val="001076B9"/>
    <w:rsid w:val="001077DC"/>
    <w:rsid w:val="00111B97"/>
    <w:rsid w:val="00113518"/>
    <w:rsid w:val="00120691"/>
    <w:rsid w:val="001206EF"/>
    <w:rsid w:val="00124F58"/>
    <w:rsid w:val="001301DF"/>
    <w:rsid w:val="00131E4E"/>
    <w:rsid w:val="00132C47"/>
    <w:rsid w:val="0013431C"/>
    <w:rsid w:val="001361E3"/>
    <w:rsid w:val="0014091C"/>
    <w:rsid w:val="0014355A"/>
    <w:rsid w:val="0014403D"/>
    <w:rsid w:val="00146B0F"/>
    <w:rsid w:val="0015068C"/>
    <w:rsid w:val="00150761"/>
    <w:rsid w:val="001531E5"/>
    <w:rsid w:val="00153A3B"/>
    <w:rsid w:val="001542DE"/>
    <w:rsid w:val="001605A0"/>
    <w:rsid w:val="0016372F"/>
    <w:rsid w:val="001641C1"/>
    <w:rsid w:val="00164E1E"/>
    <w:rsid w:val="001663AE"/>
    <w:rsid w:val="00166D26"/>
    <w:rsid w:val="0017250D"/>
    <w:rsid w:val="00174209"/>
    <w:rsid w:val="001750E0"/>
    <w:rsid w:val="001771C0"/>
    <w:rsid w:val="00181EE3"/>
    <w:rsid w:val="001863EB"/>
    <w:rsid w:val="00196F51"/>
    <w:rsid w:val="001A3646"/>
    <w:rsid w:val="001A5473"/>
    <w:rsid w:val="001B0E71"/>
    <w:rsid w:val="001B29EB"/>
    <w:rsid w:val="001B475A"/>
    <w:rsid w:val="001B6C00"/>
    <w:rsid w:val="001B7E9B"/>
    <w:rsid w:val="001C1EA3"/>
    <w:rsid w:val="001C4742"/>
    <w:rsid w:val="001C5A39"/>
    <w:rsid w:val="001C7699"/>
    <w:rsid w:val="001D1B45"/>
    <w:rsid w:val="001D6862"/>
    <w:rsid w:val="001D7D6A"/>
    <w:rsid w:val="001E008D"/>
    <w:rsid w:val="001E0386"/>
    <w:rsid w:val="001E0C5A"/>
    <w:rsid w:val="001E19D5"/>
    <w:rsid w:val="001E2CF6"/>
    <w:rsid w:val="001E479B"/>
    <w:rsid w:val="001F0D65"/>
    <w:rsid w:val="001F11A4"/>
    <w:rsid w:val="001F3599"/>
    <w:rsid w:val="001F3E0C"/>
    <w:rsid w:val="001F7AEE"/>
    <w:rsid w:val="002016AE"/>
    <w:rsid w:val="00201E97"/>
    <w:rsid w:val="00202B7B"/>
    <w:rsid w:val="002049C5"/>
    <w:rsid w:val="00211946"/>
    <w:rsid w:val="00214DD0"/>
    <w:rsid w:val="00216974"/>
    <w:rsid w:val="00217489"/>
    <w:rsid w:val="002206E8"/>
    <w:rsid w:val="00224140"/>
    <w:rsid w:val="00226503"/>
    <w:rsid w:val="00230103"/>
    <w:rsid w:val="00231AC8"/>
    <w:rsid w:val="00231ECA"/>
    <w:rsid w:val="00233415"/>
    <w:rsid w:val="00250B2A"/>
    <w:rsid w:val="002510E7"/>
    <w:rsid w:val="00254A87"/>
    <w:rsid w:val="0025641D"/>
    <w:rsid w:val="00256442"/>
    <w:rsid w:val="00256F6A"/>
    <w:rsid w:val="0026039E"/>
    <w:rsid w:val="002628DC"/>
    <w:rsid w:val="00264A57"/>
    <w:rsid w:val="00267A53"/>
    <w:rsid w:val="002702FE"/>
    <w:rsid w:val="002733BF"/>
    <w:rsid w:val="002751D2"/>
    <w:rsid w:val="00282118"/>
    <w:rsid w:val="00282A1A"/>
    <w:rsid w:val="00284BBA"/>
    <w:rsid w:val="00287CE6"/>
    <w:rsid w:val="00292AA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C19FA"/>
    <w:rsid w:val="002C24CB"/>
    <w:rsid w:val="002D5091"/>
    <w:rsid w:val="002D62AF"/>
    <w:rsid w:val="002E6C96"/>
    <w:rsid w:val="002F0376"/>
    <w:rsid w:val="002F13E5"/>
    <w:rsid w:val="002F1B9A"/>
    <w:rsid w:val="002F3B9C"/>
    <w:rsid w:val="00300E2D"/>
    <w:rsid w:val="00302682"/>
    <w:rsid w:val="003026A2"/>
    <w:rsid w:val="00303824"/>
    <w:rsid w:val="00314840"/>
    <w:rsid w:val="0031584D"/>
    <w:rsid w:val="00317880"/>
    <w:rsid w:val="003203FA"/>
    <w:rsid w:val="003205FF"/>
    <w:rsid w:val="00321EC8"/>
    <w:rsid w:val="00322659"/>
    <w:rsid w:val="003305B2"/>
    <w:rsid w:val="00332DE4"/>
    <w:rsid w:val="00337AB0"/>
    <w:rsid w:val="0034022F"/>
    <w:rsid w:val="00341B3E"/>
    <w:rsid w:val="00351487"/>
    <w:rsid w:val="003539AE"/>
    <w:rsid w:val="003559D7"/>
    <w:rsid w:val="00356B3F"/>
    <w:rsid w:val="00362AAB"/>
    <w:rsid w:val="00367CB1"/>
    <w:rsid w:val="00370F6C"/>
    <w:rsid w:val="00372933"/>
    <w:rsid w:val="00372F40"/>
    <w:rsid w:val="00373B6D"/>
    <w:rsid w:val="003751E2"/>
    <w:rsid w:val="00375CC7"/>
    <w:rsid w:val="003834EF"/>
    <w:rsid w:val="00383D8B"/>
    <w:rsid w:val="0039183D"/>
    <w:rsid w:val="00391C14"/>
    <w:rsid w:val="00394BA1"/>
    <w:rsid w:val="003956E5"/>
    <w:rsid w:val="00396E50"/>
    <w:rsid w:val="00397766"/>
    <w:rsid w:val="003A15E7"/>
    <w:rsid w:val="003A2A88"/>
    <w:rsid w:val="003A497B"/>
    <w:rsid w:val="003A5822"/>
    <w:rsid w:val="003B030A"/>
    <w:rsid w:val="003B6AFE"/>
    <w:rsid w:val="003C33E8"/>
    <w:rsid w:val="003C5E57"/>
    <w:rsid w:val="003C703A"/>
    <w:rsid w:val="003D4B2C"/>
    <w:rsid w:val="003D7840"/>
    <w:rsid w:val="003F0FDF"/>
    <w:rsid w:val="003F4BDE"/>
    <w:rsid w:val="003F5E08"/>
    <w:rsid w:val="00400814"/>
    <w:rsid w:val="00401619"/>
    <w:rsid w:val="004032C1"/>
    <w:rsid w:val="00407637"/>
    <w:rsid w:val="004120E2"/>
    <w:rsid w:val="00415CC3"/>
    <w:rsid w:val="00425FF4"/>
    <w:rsid w:val="00430D77"/>
    <w:rsid w:val="004312CF"/>
    <w:rsid w:val="0043141A"/>
    <w:rsid w:val="00433EE8"/>
    <w:rsid w:val="00441F50"/>
    <w:rsid w:val="00441F85"/>
    <w:rsid w:val="0044795F"/>
    <w:rsid w:val="00452E65"/>
    <w:rsid w:val="00454315"/>
    <w:rsid w:val="00454B8B"/>
    <w:rsid w:val="004643ED"/>
    <w:rsid w:val="0046718C"/>
    <w:rsid w:val="00467508"/>
    <w:rsid w:val="00467595"/>
    <w:rsid w:val="00471A9A"/>
    <w:rsid w:val="00473EB7"/>
    <w:rsid w:val="00477304"/>
    <w:rsid w:val="004803CC"/>
    <w:rsid w:val="00480FCA"/>
    <w:rsid w:val="00481490"/>
    <w:rsid w:val="0048203B"/>
    <w:rsid w:val="00482348"/>
    <w:rsid w:val="0048241E"/>
    <w:rsid w:val="00485A4C"/>
    <w:rsid w:val="00490E57"/>
    <w:rsid w:val="004939F0"/>
    <w:rsid w:val="00493CDB"/>
    <w:rsid w:val="00494AA1"/>
    <w:rsid w:val="00496461"/>
    <w:rsid w:val="00496A15"/>
    <w:rsid w:val="004A00E3"/>
    <w:rsid w:val="004A6393"/>
    <w:rsid w:val="004A698D"/>
    <w:rsid w:val="004A7153"/>
    <w:rsid w:val="004B10C8"/>
    <w:rsid w:val="004B1676"/>
    <w:rsid w:val="004B3739"/>
    <w:rsid w:val="004B3A5F"/>
    <w:rsid w:val="004B791D"/>
    <w:rsid w:val="004B7B3F"/>
    <w:rsid w:val="004B7C3B"/>
    <w:rsid w:val="004C10FE"/>
    <w:rsid w:val="004C250E"/>
    <w:rsid w:val="004C27B6"/>
    <w:rsid w:val="004D0347"/>
    <w:rsid w:val="004D13A4"/>
    <w:rsid w:val="004E1489"/>
    <w:rsid w:val="004E17F3"/>
    <w:rsid w:val="004E3F57"/>
    <w:rsid w:val="004E585C"/>
    <w:rsid w:val="004E5B7D"/>
    <w:rsid w:val="004E655D"/>
    <w:rsid w:val="004E7767"/>
    <w:rsid w:val="004F0F16"/>
    <w:rsid w:val="004F2F93"/>
    <w:rsid w:val="004F38FE"/>
    <w:rsid w:val="004F758C"/>
    <w:rsid w:val="004F7914"/>
    <w:rsid w:val="004F7C44"/>
    <w:rsid w:val="0050051E"/>
    <w:rsid w:val="00502C12"/>
    <w:rsid w:val="00504C03"/>
    <w:rsid w:val="00505067"/>
    <w:rsid w:val="00505A4E"/>
    <w:rsid w:val="005073CF"/>
    <w:rsid w:val="005105EA"/>
    <w:rsid w:val="00511C4D"/>
    <w:rsid w:val="00513557"/>
    <w:rsid w:val="005150C9"/>
    <w:rsid w:val="00515BBF"/>
    <w:rsid w:val="00516E68"/>
    <w:rsid w:val="005172FE"/>
    <w:rsid w:val="00517C86"/>
    <w:rsid w:val="00520FA4"/>
    <w:rsid w:val="00521391"/>
    <w:rsid w:val="005220BC"/>
    <w:rsid w:val="00524E1D"/>
    <w:rsid w:val="0052650A"/>
    <w:rsid w:val="00527649"/>
    <w:rsid w:val="005279E8"/>
    <w:rsid w:val="005325B4"/>
    <w:rsid w:val="0053385B"/>
    <w:rsid w:val="00536B82"/>
    <w:rsid w:val="0054263E"/>
    <w:rsid w:val="00551911"/>
    <w:rsid w:val="00551920"/>
    <w:rsid w:val="00552A0E"/>
    <w:rsid w:val="00552B7F"/>
    <w:rsid w:val="005540CE"/>
    <w:rsid w:val="00554A6E"/>
    <w:rsid w:val="00560B0C"/>
    <w:rsid w:val="00562B5C"/>
    <w:rsid w:val="00563D53"/>
    <w:rsid w:val="00565F73"/>
    <w:rsid w:val="00567980"/>
    <w:rsid w:val="005679E4"/>
    <w:rsid w:val="005760BF"/>
    <w:rsid w:val="00577624"/>
    <w:rsid w:val="00577ABF"/>
    <w:rsid w:val="00585BCF"/>
    <w:rsid w:val="00585ED0"/>
    <w:rsid w:val="005916D2"/>
    <w:rsid w:val="00591B11"/>
    <w:rsid w:val="00595C35"/>
    <w:rsid w:val="00595DA7"/>
    <w:rsid w:val="00595ED2"/>
    <w:rsid w:val="005A6091"/>
    <w:rsid w:val="005B1E55"/>
    <w:rsid w:val="005B6E10"/>
    <w:rsid w:val="005B6F12"/>
    <w:rsid w:val="005C0DCB"/>
    <w:rsid w:val="005C46B0"/>
    <w:rsid w:val="005D173F"/>
    <w:rsid w:val="005D17BC"/>
    <w:rsid w:val="005D4B42"/>
    <w:rsid w:val="005D655F"/>
    <w:rsid w:val="005D6B64"/>
    <w:rsid w:val="005E0E4A"/>
    <w:rsid w:val="005E1D3C"/>
    <w:rsid w:val="005E1DE9"/>
    <w:rsid w:val="005E5E78"/>
    <w:rsid w:val="005F11EA"/>
    <w:rsid w:val="005F4A02"/>
    <w:rsid w:val="005F5D93"/>
    <w:rsid w:val="00603AAD"/>
    <w:rsid w:val="00604208"/>
    <w:rsid w:val="006075BD"/>
    <w:rsid w:val="006120DA"/>
    <w:rsid w:val="00617E98"/>
    <w:rsid w:val="00622F53"/>
    <w:rsid w:val="006309B9"/>
    <w:rsid w:val="00640913"/>
    <w:rsid w:val="00641842"/>
    <w:rsid w:val="00650A99"/>
    <w:rsid w:val="0065485A"/>
    <w:rsid w:val="00664223"/>
    <w:rsid w:val="00670D69"/>
    <w:rsid w:val="00674492"/>
    <w:rsid w:val="0067483D"/>
    <w:rsid w:val="006753C6"/>
    <w:rsid w:val="00676443"/>
    <w:rsid w:val="006807AC"/>
    <w:rsid w:val="00682367"/>
    <w:rsid w:val="00685EF4"/>
    <w:rsid w:val="006928D1"/>
    <w:rsid w:val="00692975"/>
    <w:rsid w:val="006948C5"/>
    <w:rsid w:val="00697D59"/>
    <w:rsid w:val="006A0029"/>
    <w:rsid w:val="006A05D6"/>
    <w:rsid w:val="006A0F41"/>
    <w:rsid w:val="006A5990"/>
    <w:rsid w:val="006A5FCB"/>
    <w:rsid w:val="006A6FC6"/>
    <w:rsid w:val="006B0537"/>
    <w:rsid w:val="006B5985"/>
    <w:rsid w:val="006B765E"/>
    <w:rsid w:val="006C7116"/>
    <w:rsid w:val="006D2B4A"/>
    <w:rsid w:val="006D7C83"/>
    <w:rsid w:val="006E4583"/>
    <w:rsid w:val="006E5817"/>
    <w:rsid w:val="006F03F4"/>
    <w:rsid w:val="006F26B2"/>
    <w:rsid w:val="006F58C5"/>
    <w:rsid w:val="006F7B44"/>
    <w:rsid w:val="00700DA8"/>
    <w:rsid w:val="00700DB0"/>
    <w:rsid w:val="0070120A"/>
    <w:rsid w:val="00702901"/>
    <w:rsid w:val="007042C0"/>
    <w:rsid w:val="007050ED"/>
    <w:rsid w:val="007057E8"/>
    <w:rsid w:val="007062D9"/>
    <w:rsid w:val="00706545"/>
    <w:rsid w:val="00707F65"/>
    <w:rsid w:val="00712F01"/>
    <w:rsid w:val="00713F75"/>
    <w:rsid w:val="00725E02"/>
    <w:rsid w:val="00726264"/>
    <w:rsid w:val="0073154E"/>
    <w:rsid w:val="00735592"/>
    <w:rsid w:val="00736B63"/>
    <w:rsid w:val="00741448"/>
    <w:rsid w:val="00743253"/>
    <w:rsid w:val="00743E1A"/>
    <w:rsid w:val="00745063"/>
    <w:rsid w:val="00745F39"/>
    <w:rsid w:val="00747180"/>
    <w:rsid w:val="00751860"/>
    <w:rsid w:val="00762866"/>
    <w:rsid w:val="00762EF0"/>
    <w:rsid w:val="00763FDB"/>
    <w:rsid w:val="007641A0"/>
    <w:rsid w:val="00766EC2"/>
    <w:rsid w:val="00767FB9"/>
    <w:rsid w:val="00770276"/>
    <w:rsid w:val="00770874"/>
    <w:rsid w:val="00770887"/>
    <w:rsid w:val="00770ADC"/>
    <w:rsid w:val="00771928"/>
    <w:rsid w:val="00773282"/>
    <w:rsid w:val="00773547"/>
    <w:rsid w:val="00775756"/>
    <w:rsid w:val="00776215"/>
    <w:rsid w:val="007828B7"/>
    <w:rsid w:val="00782F33"/>
    <w:rsid w:val="0078344D"/>
    <w:rsid w:val="007877F3"/>
    <w:rsid w:val="00790020"/>
    <w:rsid w:val="00790739"/>
    <w:rsid w:val="00792612"/>
    <w:rsid w:val="00796DDA"/>
    <w:rsid w:val="007A4D8D"/>
    <w:rsid w:val="007B4882"/>
    <w:rsid w:val="007B5621"/>
    <w:rsid w:val="007B6AD6"/>
    <w:rsid w:val="007B70F7"/>
    <w:rsid w:val="007C336F"/>
    <w:rsid w:val="007C4270"/>
    <w:rsid w:val="007C450B"/>
    <w:rsid w:val="007C4578"/>
    <w:rsid w:val="007C532D"/>
    <w:rsid w:val="007D411F"/>
    <w:rsid w:val="007E1795"/>
    <w:rsid w:val="007E35B4"/>
    <w:rsid w:val="007E45F2"/>
    <w:rsid w:val="007F2F30"/>
    <w:rsid w:val="007F40C8"/>
    <w:rsid w:val="007F6500"/>
    <w:rsid w:val="007F7858"/>
    <w:rsid w:val="007F7C04"/>
    <w:rsid w:val="00800EA9"/>
    <w:rsid w:val="008032B9"/>
    <w:rsid w:val="008036D7"/>
    <w:rsid w:val="00804D2D"/>
    <w:rsid w:val="00806566"/>
    <w:rsid w:val="00807EFC"/>
    <w:rsid w:val="00810084"/>
    <w:rsid w:val="00811831"/>
    <w:rsid w:val="008120FD"/>
    <w:rsid w:val="00815CEE"/>
    <w:rsid w:val="00815D0B"/>
    <w:rsid w:val="008165BB"/>
    <w:rsid w:val="008175B2"/>
    <w:rsid w:val="00817D8E"/>
    <w:rsid w:val="00820529"/>
    <w:rsid w:val="00821EDD"/>
    <w:rsid w:val="00827082"/>
    <w:rsid w:val="00832014"/>
    <w:rsid w:val="00836C5C"/>
    <w:rsid w:val="008442CE"/>
    <w:rsid w:val="008445AE"/>
    <w:rsid w:val="00844F12"/>
    <w:rsid w:val="0084571C"/>
    <w:rsid w:val="00852E16"/>
    <w:rsid w:val="0085709B"/>
    <w:rsid w:val="00857DE1"/>
    <w:rsid w:val="00862E28"/>
    <w:rsid w:val="008647D1"/>
    <w:rsid w:val="00865165"/>
    <w:rsid w:val="00865411"/>
    <w:rsid w:val="00870C3E"/>
    <w:rsid w:val="0087308F"/>
    <w:rsid w:val="0087506E"/>
    <w:rsid w:val="008751D9"/>
    <w:rsid w:val="008761A0"/>
    <w:rsid w:val="00881C9C"/>
    <w:rsid w:val="0088732D"/>
    <w:rsid w:val="00896EAD"/>
    <w:rsid w:val="008A0307"/>
    <w:rsid w:val="008A3FB8"/>
    <w:rsid w:val="008A5D7F"/>
    <w:rsid w:val="008B0625"/>
    <w:rsid w:val="008B30C9"/>
    <w:rsid w:val="008B7176"/>
    <w:rsid w:val="008C00FD"/>
    <w:rsid w:val="008C2780"/>
    <w:rsid w:val="008C2EA2"/>
    <w:rsid w:val="008C73D6"/>
    <w:rsid w:val="008C7A2F"/>
    <w:rsid w:val="008D04FA"/>
    <w:rsid w:val="008E2ADB"/>
    <w:rsid w:val="008E40B7"/>
    <w:rsid w:val="008E6775"/>
    <w:rsid w:val="008E78EB"/>
    <w:rsid w:val="008F6815"/>
    <w:rsid w:val="00901C37"/>
    <w:rsid w:val="00902FDE"/>
    <w:rsid w:val="009058D0"/>
    <w:rsid w:val="00907660"/>
    <w:rsid w:val="00913AD5"/>
    <w:rsid w:val="00914565"/>
    <w:rsid w:val="00915224"/>
    <w:rsid w:val="00926286"/>
    <w:rsid w:val="00926317"/>
    <w:rsid w:val="00926B45"/>
    <w:rsid w:val="00934CE3"/>
    <w:rsid w:val="00942F02"/>
    <w:rsid w:val="00943029"/>
    <w:rsid w:val="00950A8A"/>
    <w:rsid w:val="00953438"/>
    <w:rsid w:val="00956098"/>
    <w:rsid w:val="009606B3"/>
    <w:rsid w:val="00961788"/>
    <w:rsid w:val="0096241A"/>
    <w:rsid w:val="00966EAD"/>
    <w:rsid w:val="00973D1A"/>
    <w:rsid w:val="0097536C"/>
    <w:rsid w:val="0097627C"/>
    <w:rsid w:val="0098143F"/>
    <w:rsid w:val="00982549"/>
    <w:rsid w:val="009848DF"/>
    <w:rsid w:val="00986F71"/>
    <w:rsid w:val="00990B51"/>
    <w:rsid w:val="0099278C"/>
    <w:rsid w:val="00996A17"/>
    <w:rsid w:val="009A236F"/>
    <w:rsid w:val="009A3F4E"/>
    <w:rsid w:val="009A5596"/>
    <w:rsid w:val="009A7AA1"/>
    <w:rsid w:val="009B2860"/>
    <w:rsid w:val="009B38B1"/>
    <w:rsid w:val="009B4265"/>
    <w:rsid w:val="009B7AC7"/>
    <w:rsid w:val="009C0615"/>
    <w:rsid w:val="009C3106"/>
    <w:rsid w:val="009C3354"/>
    <w:rsid w:val="009C5C1A"/>
    <w:rsid w:val="009C7A81"/>
    <w:rsid w:val="009C7C0D"/>
    <w:rsid w:val="009D4B99"/>
    <w:rsid w:val="009D7ECE"/>
    <w:rsid w:val="009E0CF7"/>
    <w:rsid w:val="009E5D05"/>
    <w:rsid w:val="009F0492"/>
    <w:rsid w:val="009F0FBE"/>
    <w:rsid w:val="009F248B"/>
    <w:rsid w:val="009F6412"/>
    <w:rsid w:val="00A0382D"/>
    <w:rsid w:val="00A05791"/>
    <w:rsid w:val="00A05F58"/>
    <w:rsid w:val="00A07EF9"/>
    <w:rsid w:val="00A13AE4"/>
    <w:rsid w:val="00A329EF"/>
    <w:rsid w:val="00A34FD5"/>
    <w:rsid w:val="00A36083"/>
    <w:rsid w:val="00A36A80"/>
    <w:rsid w:val="00A43CD6"/>
    <w:rsid w:val="00A44621"/>
    <w:rsid w:val="00A47C6A"/>
    <w:rsid w:val="00A47CA0"/>
    <w:rsid w:val="00A566FE"/>
    <w:rsid w:val="00A57CC2"/>
    <w:rsid w:val="00A6251D"/>
    <w:rsid w:val="00A654D7"/>
    <w:rsid w:val="00A65971"/>
    <w:rsid w:val="00A66750"/>
    <w:rsid w:val="00A70182"/>
    <w:rsid w:val="00A70BA7"/>
    <w:rsid w:val="00A72A13"/>
    <w:rsid w:val="00A744EC"/>
    <w:rsid w:val="00A7495A"/>
    <w:rsid w:val="00A839F4"/>
    <w:rsid w:val="00A85837"/>
    <w:rsid w:val="00A926CE"/>
    <w:rsid w:val="00A9371D"/>
    <w:rsid w:val="00A97894"/>
    <w:rsid w:val="00A97CAD"/>
    <w:rsid w:val="00A97FDD"/>
    <w:rsid w:val="00AA0FB7"/>
    <w:rsid w:val="00AA1C68"/>
    <w:rsid w:val="00AA5D20"/>
    <w:rsid w:val="00AA690A"/>
    <w:rsid w:val="00AA75DD"/>
    <w:rsid w:val="00AB37B1"/>
    <w:rsid w:val="00AB4FFD"/>
    <w:rsid w:val="00AC2164"/>
    <w:rsid w:val="00AC2B0C"/>
    <w:rsid w:val="00AC4815"/>
    <w:rsid w:val="00AC4CBD"/>
    <w:rsid w:val="00AC6DD0"/>
    <w:rsid w:val="00AD0C4B"/>
    <w:rsid w:val="00AD3A74"/>
    <w:rsid w:val="00AD56DB"/>
    <w:rsid w:val="00AD7A50"/>
    <w:rsid w:val="00AE23D3"/>
    <w:rsid w:val="00AE45E6"/>
    <w:rsid w:val="00AE7B84"/>
    <w:rsid w:val="00AF00AF"/>
    <w:rsid w:val="00AF217C"/>
    <w:rsid w:val="00AF5E1D"/>
    <w:rsid w:val="00AF7171"/>
    <w:rsid w:val="00AF71D3"/>
    <w:rsid w:val="00B03E66"/>
    <w:rsid w:val="00B10F99"/>
    <w:rsid w:val="00B11E2E"/>
    <w:rsid w:val="00B1396D"/>
    <w:rsid w:val="00B179EC"/>
    <w:rsid w:val="00B17D06"/>
    <w:rsid w:val="00B212CE"/>
    <w:rsid w:val="00B229DE"/>
    <w:rsid w:val="00B2315E"/>
    <w:rsid w:val="00B24C81"/>
    <w:rsid w:val="00B24EC6"/>
    <w:rsid w:val="00B258AA"/>
    <w:rsid w:val="00B26183"/>
    <w:rsid w:val="00B33ABA"/>
    <w:rsid w:val="00B36BB2"/>
    <w:rsid w:val="00B401FB"/>
    <w:rsid w:val="00B430BE"/>
    <w:rsid w:val="00B44FE7"/>
    <w:rsid w:val="00B51E12"/>
    <w:rsid w:val="00B5275F"/>
    <w:rsid w:val="00B57DCE"/>
    <w:rsid w:val="00B62473"/>
    <w:rsid w:val="00B6483D"/>
    <w:rsid w:val="00B65E8C"/>
    <w:rsid w:val="00B74F06"/>
    <w:rsid w:val="00B761E4"/>
    <w:rsid w:val="00B8182A"/>
    <w:rsid w:val="00B82557"/>
    <w:rsid w:val="00B83B9D"/>
    <w:rsid w:val="00B83BF2"/>
    <w:rsid w:val="00B8540B"/>
    <w:rsid w:val="00B864A6"/>
    <w:rsid w:val="00B9099F"/>
    <w:rsid w:val="00B92753"/>
    <w:rsid w:val="00B94319"/>
    <w:rsid w:val="00B97B3B"/>
    <w:rsid w:val="00BA1DE4"/>
    <w:rsid w:val="00BA2203"/>
    <w:rsid w:val="00BA2D04"/>
    <w:rsid w:val="00BA3E16"/>
    <w:rsid w:val="00BA4F3D"/>
    <w:rsid w:val="00BA5EC8"/>
    <w:rsid w:val="00BB0B2C"/>
    <w:rsid w:val="00BB2EB5"/>
    <w:rsid w:val="00BB3D88"/>
    <w:rsid w:val="00BC2190"/>
    <w:rsid w:val="00BC265C"/>
    <w:rsid w:val="00BC3C07"/>
    <w:rsid w:val="00BD34BB"/>
    <w:rsid w:val="00BD39F4"/>
    <w:rsid w:val="00BD4C82"/>
    <w:rsid w:val="00BE1C07"/>
    <w:rsid w:val="00BE325A"/>
    <w:rsid w:val="00BE515D"/>
    <w:rsid w:val="00BF3F76"/>
    <w:rsid w:val="00BF5E4B"/>
    <w:rsid w:val="00C00289"/>
    <w:rsid w:val="00C01693"/>
    <w:rsid w:val="00C0395D"/>
    <w:rsid w:val="00C03A42"/>
    <w:rsid w:val="00C0423C"/>
    <w:rsid w:val="00C10AAC"/>
    <w:rsid w:val="00C12F15"/>
    <w:rsid w:val="00C142B1"/>
    <w:rsid w:val="00C20CA8"/>
    <w:rsid w:val="00C20E26"/>
    <w:rsid w:val="00C2296A"/>
    <w:rsid w:val="00C22DBE"/>
    <w:rsid w:val="00C276A2"/>
    <w:rsid w:val="00C32B9A"/>
    <w:rsid w:val="00C32E28"/>
    <w:rsid w:val="00C3332E"/>
    <w:rsid w:val="00C334D1"/>
    <w:rsid w:val="00C36BE7"/>
    <w:rsid w:val="00C37A7B"/>
    <w:rsid w:val="00C43064"/>
    <w:rsid w:val="00C46A08"/>
    <w:rsid w:val="00C47D9E"/>
    <w:rsid w:val="00C51797"/>
    <w:rsid w:val="00C541A9"/>
    <w:rsid w:val="00C54674"/>
    <w:rsid w:val="00C54A4A"/>
    <w:rsid w:val="00C55945"/>
    <w:rsid w:val="00C56A9B"/>
    <w:rsid w:val="00C572C4"/>
    <w:rsid w:val="00C65605"/>
    <w:rsid w:val="00C6685D"/>
    <w:rsid w:val="00C70370"/>
    <w:rsid w:val="00C70B40"/>
    <w:rsid w:val="00C72CA5"/>
    <w:rsid w:val="00C72D32"/>
    <w:rsid w:val="00C769E0"/>
    <w:rsid w:val="00C86CA5"/>
    <w:rsid w:val="00CA1EFC"/>
    <w:rsid w:val="00CA637D"/>
    <w:rsid w:val="00CA669B"/>
    <w:rsid w:val="00CA6D9C"/>
    <w:rsid w:val="00CA76CA"/>
    <w:rsid w:val="00CB47E0"/>
    <w:rsid w:val="00CB6457"/>
    <w:rsid w:val="00CB6D39"/>
    <w:rsid w:val="00CC0170"/>
    <w:rsid w:val="00CC59C1"/>
    <w:rsid w:val="00CC74DC"/>
    <w:rsid w:val="00CD3A6C"/>
    <w:rsid w:val="00CE6524"/>
    <w:rsid w:val="00CF0493"/>
    <w:rsid w:val="00CF11FD"/>
    <w:rsid w:val="00CF7230"/>
    <w:rsid w:val="00D02D35"/>
    <w:rsid w:val="00D03B46"/>
    <w:rsid w:val="00D05FE1"/>
    <w:rsid w:val="00D200BE"/>
    <w:rsid w:val="00D204CE"/>
    <w:rsid w:val="00D23393"/>
    <w:rsid w:val="00D27BCA"/>
    <w:rsid w:val="00D33A0E"/>
    <w:rsid w:val="00D34898"/>
    <w:rsid w:val="00D373F0"/>
    <w:rsid w:val="00D37BAF"/>
    <w:rsid w:val="00D42439"/>
    <w:rsid w:val="00D4672B"/>
    <w:rsid w:val="00D47B0A"/>
    <w:rsid w:val="00D51763"/>
    <w:rsid w:val="00D534DF"/>
    <w:rsid w:val="00D613CB"/>
    <w:rsid w:val="00D65EB0"/>
    <w:rsid w:val="00D718F8"/>
    <w:rsid w:val="00D71C09"/>
    <w:rsid w:val="00D76FA2"/>
    <w:rsid w:val="00D774B6"/>
    <w:rsid w:val="00D86264"/>
    <w:rsid w:val="00D95BCE"/>
    <w:rsid w:val="00D9794C"/>
    <w:rsid w:val="00DA07E0"/>
    <w:rsid w:val="00DA12F2"/>
    <w:rsid w:val="00DA6502"/>
    <w:rsid w:val="00DB7F92"/>
    <w:rsid w:val="00DC5A57"/>
    <w:rsid w:val="00DD0981"/>
    <w:rsid w:val="00DD0F92"/>
    <w:rsid w:val="00DD5CA9"/>
    <w:rsid w:val="00DD6F21"/>
    <w:rsid w:val="00DD7B6A"/>
    <w:rsid w:val="00DE4790"/>
    <w:rsid w:val="00DE4F3C"/>
    <w:rsid w:val="00DE59DF"/>
    <w:rsid w:val="00DF05CB"/>
    <w:rsid w:val="00DF220C"/>
    <w:rsid w:val="00DF240E"/>
    <w:rsid w:val="00DF4D29"/>
    <w:rsid w:val="00DF6119"/>
    <w:rsid w:val="00E00EAB"/>
    <w:rsid w:val="00E058B1"/>
    <w:rsid w:val="00E10692"/>
    <w:rsid w:val="00E111B6"/>
    <w:rsid w:val="00E14628"/>
    <w:rsid w:val="00E15028"/>
    <w:rsid w:val="00E15E67"/>
    <w:rsid w:val="00E2010C"/>
    <w:rsid w:val="00E21B5E"/>
    <w:rsid w:val="00E2269A"/>
    <w:rsid w:val="00E255C8"/>
    <w:rsid w:val="00E27D3B"/>
    <w:rsid w:val="00E30E3E"/>
    <w:rsid w:val="00E3143C"/>
    <w:rsid w:val="00E319A8"/>
    <w:rsid w:val="00E31AA7"/>
    <w:rsid w:val="00E324E3"/>
    <w:rsid w:val="00E35F1F"/>
    <w:rsid w:val="00E37D46"/>
    <w:rsid w:val="00E40368"/>
    <w:rsid w:val="00E4268B"/>
    <w:rsid w:val="00E42DEF"/>
    <w:rsid w:val="00E438FA"/>
    <w:rsid w:val="00E44E11"/>
    <w:rsid w:val="00E508CB"/>
    <w:rsid w:val="00E52376"/>
    <w:rsid w:val="00E535D9"/>
    <w:rsid w:val="00E55115"/>
    <w:rsid w:val="00E562E9"/>
    <w:rsid w:val="00E566A8"/>
    <w:rsid w:val="00E56795"/>
    <w:rsid w:val="00E60742"/>
    <w:rsid w:val="00E71D96"/>
    <w:rsid w:val="00E745B9"/>
    <w:rsid w:val="00E80BDE"/>
    <w:rsid w:val="00E80CF1"/>
    <w:rsid w:val="00E85A59"/>
    <w:rsid w:val="00E95500"/>
    <w:rsid w:val="00EA0EA6"/>
    <w:rsid w:val="00EA16AE"/>
    <w:rsid w:val="00EA3144"/>
    <w:rsid w:val="00EA4545"/>
    <w:rsid w:val="00EA542C"/>
    <w:rsid w:val="00EA6661"/>
    <w:rsid w:val="00EB0D83"/>
    <w:rsid w:val="00EB230A"/>
    <w:rsid w:val="00EC14DD"/>
    <w:rsid w:val="00EC2A11"/>
    <w:rsid w:val="00EC36EF"/>
    <w:rsid w:val="00EC3FCA"/>
    <w:rsid w:val="00ED18CB"/>
    <w:rsid w:val="00EE23CA"/>
    <w:rsid w:val="00EE272E"/>
    <w:rsid w:val="00EE30F0"/>
    <w:rsid w:val="00EE40F7"/>
    <w:rsid w:val="00EE543C"/>
    <w:rsid w:val="00EF0F9F"/>
    <w:rsid w:val="00EF1F54"/>
    <w:rsid w:val="00EF4447"/>
    <w:rsid w:val="00EF51FE"/>
    <w:rsid w:val="00EF645F"/>
    <w:rsid w:val="00EF7F03"/>
    <w:rsid w:val="00F06007"/>
    <w:rsid w:val="00F067EF"/>
    <w:rsid w:val="00F06B21"/>
    <w:rsid w:val="00F10463"/>
    <w:rsid w:val="00F21145"/>
    <w:rsid w:val="00F237C2"/>
    <w:rsid w:val="00F343E9"/>
    <w:rsid w:val="00F344D5"/>
    <w:rsid w:val="00F413A2"/>
    <w:rsid w:val="00F41E22"/>
    <w:rsid w:val="00F437B7"/>
    <w:rsid w:val="00F50DE8"/>
    <w:rsid w:val="00F5220F"/>
    <w:rsid w:val="00F525B8"/>
    <w:rsid w:val="00F57D5F"/>
    <w:rsid w:val="00F64422"/>
    <w:rsid w:val="00F74A4C"/>
    <w:rsid w:val="00F766D0"/>
    <w:rsid w:val="00F77DD0"/>
    <w:rsid w:val="00F832D1"/>
    <w:rsid w:val="00F83E8B"/>
    <w:rsid w:val="00F84B99"/>
    <w:rsid w:val="00F8609F"/>
    <w:rsid w:val="00F86B59"/>
    <w:rsid w:val="00F95E8D"/>
    <w:rsid w:val="00FA240A"/>
    <w:rsid w:val="00FA47DA"/>
    <w:rsid w:val="00FA4824"/>
    <w:rsid w:val="00FA4922"/>
    <w:rsid w:val="00FA4C6D"/>
    <w:rsid w:val="00FB1D70"/>
    <w:rsid w:val="00FB2024"/>
    <w:rsid w:val="00FC3737"/>
    <w:rsid w:val="00FC413F"/>
    <w:rsid w:val="00FD082E"/>
    <w:rsid w:val="00FD0FB5"/>
    <w:rsid w:val="00FD1869"/>
    <w:rsid w:val="00FD52EC"/>
    <w:rsid w:val="00FD53F7"/>
    <w:rsid w:val="00FD777A"/>
    <w:rsid w:val="00FE090E"/>
    <w:rsid w:val="00FE1BB9"/>
    <w:rsid w:val="00FE3B2D"/>
    <w:rsid w:val="00FE5384"/>
    <w:rsid w:val="00FF4F90"/>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D0AAD5F-6400-42F4-AB6F-9AE3E853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nhideWhenUsed/>
    <w:rsid w:val="00650A99"/>
    <w:pPr>
      <w:tabs>
        <w:tab w:val="center" w:pos="4419"/>
        <w:tab w:val="right" w:pos="8838"/>
      </w:tabs>
    </w:pPr>
  </w:style>
  <w:style w:type="character" w:customStyle="1" w:styleId="EncabezadoCar">
    <w:name w:val="Encabezado Car"/>
    <w:basedOn w:val="Fuentedeprrafopredeter"/>
    <w:link w:val="Encabezado"/>
    <w:rsid w:val="00650A99"/>
  </w:style>
  <w:style w:type="paragraph" w:styleId="Piedepgina">
    <w:name w:val="footer"/>
    <w:basedOn w:val="Normal"/>
    <w:link w:val="PiedepginaCar"/>
    <w:unhideWhenUsed/>
    <w:rsid w:val="00650A99"/>
    <w:pPr>
      <w:tabs>
        <w:tab w:val="center" w:pos="4419"/>
        <w:tab w:val="right" w:pos="8838"/>
      </w:tabs>
    </w:pPr>
  </w:style>
  <w:style w:type="character" w:customStyle="1" w:styleId="PiedepginaCar">
    <w:name w:val="Pie de página Car"/>
    <w:basedOn w:val="Fuentedeprrafopredeter"/>
    <w:link w:val="Piedepgina"/>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oleObject" Target="file:///E:\INFORME%20FISCAL%20Y%20FINANCIERO\2015\ENTIDADES%20TERRITORIALES%2015\MARIQUITA\CUADROS%20INGRESOS%20-%20GASTOS-%20ULTIM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25589390</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13975578</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494062</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_(* #,##0_);_(* \(#,##0\);_(* "-"??_);_(@_)</c:formatCode>
                <c:ptCount val="1"/>
                <c:pt idx="0">
                  <c:v>39070906</c:v>
                </c:pt>
              </c:numCache>
            </c:numRef>
          </c:val>
        </c:ser>
        <c:dLbls>
          <c:showLegendKey val="0"/>
          <c:showVal val="0"/>
          <c:showCatName val="0"/>
          <c:showSerName val="0"/>
          <c:showPercent val="0"/>
          <c:showBubbleSize val="0"/>
        </c:dLbls>
        <c:gapWidth val="150"/>
        <c:shape val="pyramid"/>
        <c:axId val="1365340944"/>
        <c:axId val="1365341488"/>
        <c:axId val="1363828832"/>
      </c:bar3DChart>
      <c:catAx>
        <c:axId val="1365340944"/>
        <c:scaling>
          <c:orientation val="minMax"/>
        </c:scaling>
        <c:delete val="0"/>
        <c:axPos val="b"/>
        <c:numFmt formatCode="General" sourceLinked="0"/>
        <c:majorTickMark val="out"/>
        <c:minorTickMark val="none"/>
        <c:tickLblPos val="nextTo"/>
        <c:crossAx val="1365341488"/>
        <c:crosses val="autoZero"/>
        <c:auto val="1"/>
        <c:lblAlgn val="ctr"/>
        <c:lblOffset val="100"/>
        <c:noMultiLvlLbl val="0"/>
      </c:catAx>
      <c:valAx>
        <c:axId val="1365341488"/>
        <c:scaling>
          <c:orientation val="minMax"/>
        </c:scaling>
        <c:delete val="0"/>
        <c:axPos val="l"/>
        <c:majorGridlines/>
        <c:numFmt formatCode="_(* #,##0_);_(* \(#,##0\);_(* &quot;-&quot;??_);_(@_)" sourceLinked="1"/>
        <c:majorTickMark val="out"/>
        <c:minorTickMark val="none"/>
        <c:tickLblPos val="nextTo"/>
        <c:crossAx val="1365340944"/>
        <c:crosses val="autoZero"/>
        <c:crossBetween val="between"/>
      </c:valAx>
      <c:serAx>
        <c:axId val="1363828832"/>
        <c:scaling>
          <c:orientation val="minMax"/>
        </c:scaling>
        <c:delete val="0"/>
        <c:axPos val="b"/>
        <c:majorTickMark val="out"/>
        <c:minorTickMark val="none"/>
        <c:tickLblPos val="nextTo"/>
        <c:crossAx val="1365341488"/>
        <c:crosses val="autoZero"/>
      </c:ser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0.1226450860309128"/>
                  <c:y val="0.16625438762925718"/>
                </c:manualLayout>
              </c:layout>
              <c:tx>
                <c:rich>
                  <a:bodyPr/>
                  <a:lstStyle/>
                  <a:p>
                    <a:r>
                      <a:rPr lang="en-US"/>
                      <a:t>Ing.</a:t>
                    </a:r>
                    <a:r>
                      <a:rPr lang="en-US" baseline="0"/>
                      <a:t> Tributarios</a:t>
                    </a:r>
                  </a:p>
                  <a:p>
                    <a:r>
                      <a:rPr lang="en-US" baseline="0"/>
                      <a:t>20.96%</a:t>
                    </a:r>
                    <a:endParaRPr lang="en-US"/>
                  </a:p>
                </c:rich>
              </c:tx>
              <c:showLegendKey val="1"/>
              <c:showVal val="1"/>
              <c:showCatName val="0"/>
              <c:showSerName val="0"/>
              <c:showPercent val="0"/>
              <c:showBubbleSize val="0"/>
              <c:extLst>
                <c:ext xmlns:c15="http://schemas.microsoft.com/office/drawing/2012/chart" uri="{CE6537A1-D6FC-4f65-9D91-7224C49458BB}">
                  <c15:layout/>
                </c:ext>
              </c:extLst>
            </c:dLbl>
            <c:dLbl>
              <c:idx val="1"/>
              <c:layout>
                <c:manualLayout>
                  <c:x val="-0.12480902271475321"/>
                  <c:y val="-7.6924627644436014E-2"/>
                </c:manualLayout>
              </c:layout>
              <c:tx>
                <c:rich>
                  <a:bodyPr/>
                  <a:lstStyle/>
                  <a:p>
                    <a:r>
                      <a:rPr lang="en-US"/>
                      <a:t>Ing.</a:t>
                    </a:r>
                    <a:r>
                      <a:rPr lang="en-US" baseline="0"/>
                      <a:t> No Tributarios 19.72%</a:t>
                    </a:r>
                    <a:endParaRPr lang="en-US"/>
                  </a:p>
                </c:rich>
              </c:tx>
              <c:showLegendKey val="1"/>
              <c:showVal val="1"/>
              <c:showCatName val="0"/>
              <c:showSerName val="0"/>
              <c:showPercent val="0"/>
              <c:showBubbleSize val="0"/>
              <c:extLst>
                <c:ext xmlns:c15="http://schemas.microsoft.com/office/drawing/2012/chart" uri="{CE6537A1-D6FC-4f65-9D91-7224C49458BB}">
                  <c15:layout/>
                </c:ext>
              </c:extLst>
            </c:dLbl>
            <c:dLbl>
              <c:idx val="2"/>
              <c:layout/>
              <c:tx>
                <c:rich>
                  <a:bodyPr/>
                  <a:lstStyle/>
                  <a:p>
                    <a:r>
                      <a:rPr lang="en-US"/>
                      <a:t>Fondos Especiales 58.91%</a:t>
                    </a:r>
                  </a:p>
                </c:rich>
              </c:tx>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1"/>
            <c:showVal val="1"/>
            <c:showCatName val="0"/>
            <c:showSerName val="0"/>
            <c:showPercent val="0"/>
            <c:showBubbleSize val="0"/>
            <c:showLeaderLines val="1"/>
            <c:extLst>
              <c:ext xmlns:c15="http://schemas.microsoft.com/office/drawing/2012/chart" uri="{CE6537A1-D6FC-4f65-9D91-7224C49458BB}"/>
            </c:extLst>
          </c:dLbls>
          <c:cat>
            <c:strRef>
              <c:f>Hoja1!$A$2:$A$4</c:f>
              <c:strCache>
                <c:ptCount val="3"/>
                <c:pt idx="0">
                  <c:v>Ing. Tributarios $5.363.910.530</c:v>
                </c:pt>
                <c:pt idx="1">
                  <c:v>Ing. No Tributarios  $5.047.328.451</c:v>
                </c:pt>
                <c:pt idx="2">
                  <c:v>Fondos Especiales   $15.074.034.575</c:v>
                </c:pt>
              </c:strCache>
            </c:strRef>
          </c:cat>
          <c:val>
            <c:numRef>
              <c:f>Hoja1!$B$2:$B$4</c:f>
              <c:numCache>
                <c:formatCode>General</c:formatCode>
                <c:ptCount val="3"/>
                <c:pt idx="0">
                  <c:v>5363910530</c:v>
                </c:pt>
                <c:pt idx="1">
                  <c:v>5047328451</c:v>
                </c:pt>
                <c:pt idx="2">
                  <c:v>15074034575</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layout/>
      <c:overlay val="0"/>
    </c:title>
    <c:autoTitleDeleted val="0"/>
    <c:plotArea>
      <c:layout>
        <c:manualLayout>
          <c:layoutTarget val="inner"/>
          <c:xMode val="edge"/>
          <c:yMode val="edge"/>
          <c:x val="6.2073855351414409E-2"/>
          <c:y val="0.20235146743020763"/>
          <c:w val="0.52644229367162443"/>
          <c:h val="0.6891608208064901"/>
        </c:manualLayout>
      </c:layout>
      <c:pieChart>
        <c:varyColors val="1"/>
        <c:ser>
          <c:idx val="0"/>
          <c:order val="0"/>
          <c:tx>
            <c:strRef>
              <c:f>Hoja1!$B$1</c:f>
              <c:strCache>
                <c:ptCount val="1"/>
                <c:pt idx="0">
                  <c:v>PRINCIPALES FUENTES DE FINANCIACION</c:v>
                </c:pt>
              </c:strCache>
            </c:strRef>
          </c:tx>
          <c:explosion val="25"/>
          <c:dPt>
            <c:idx val="6"/>
            <c:bubble3D val="0"/>
            <c:explosion val="24"/>
          </c:dPt>
          <c:dLbls>
            <c:dLbl>
              <c:idx val="0"/>
              <c:layout/>
              <c:tx>
                <c:rich>
                  <a:bodyPr/>
                  <a:lstStyle/>
                  <a:p>
                    <a:r>
                      <a:rPr lang="en-US"/>
                      <a:t>INGRESOS</a:t>
                    </a:r>
                    <a:r>
                      <a:rPr lang="en-US" baseline="0"/>
                      <a:t>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ING. NO TRIBUTARIOS</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tx>
                <c:rich>
                  <a:bodyPr/>
                  <a:lstStyle/>
                  <a:p>
                    <a:r>
                      <a:rPr lang="en-US"/>
                      <a:t>TRANSFERENCIAS</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12894120005832604"/>
                  <c:y val="-0.13165592937246481"/>
                </c:manualLayout>
              </c:layout>
              <c:tx>
                <c:rich>
                  <a:bodyPr/>
                  <a:lstStyle/>
                  <a:p>
                    <a:r>
                      <a:rPr lang="en-US"/>
                      <a:t>FONDOS ESPECIALES</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tx>
                <c:rich>
                  <a:bodyPr/>
                  <a:lstStyle/>
                  <a:p>
                    <a:r>
                      <a:rPr lang="en-US"/>
                      <a:t>Recursos de Capital</a:t>
                    </a:r>
                  </a:p>
                </c:rich>
              </c:tx>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583916593759118E-2"/>
                  <c:y val="0.15080768313051779"/>
                </c:manualLayout>
              </c:layout>
              <c:tx>
                <c:rich>
                  <a:bodyPr/>
                  <a:lstStyle/>
                  <a:p>
                    <a:r>
                      <a:rPr lang="en-US"/>
                      <a:t>Fondo de contigencias</a:t>
                    </a:r>
                  </a:p>
                </c:rich>
              </c:tx>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Hoja1!$A$2:$A$8</c:f>
              <c:strCache>
                <c:ptCount val="7"/>
                <c:pt idx="0">
                  <c:v>Ingresos Tributarios  16.04%</c:v>
                </c:pt>
                <c:pt idx="1">
                  <c:v>Ingresos No Tributarios  1.61%</c:v>
                </c:pt>
                <c:pt idx="2">
                  <c:v>Transferencias  19.52%</c:v>
                </c:pt>
                <c:pt idx="3">
                  <c:v>Fondos Especiales   52.31%</c:v>
                </c:pt>
                <c:pt idx="4">
                  <c:v>Fondo de Contigencias  0.39%</c:v>
                </c:pt>
                <c:pt idx="5">
                  <c:v>Recursos de Capital   2.05%</c:v>
                </c:pt>
                <c:pt idx="6">
                  <c:v>Sistema General de Regalías  8.08%</c:v>
                </c:pt>
              </c:strCache>
            </c:strRef>
          </c:cat>
          <c:val>
            <c:numRef>
              <c:f>Hoja1!$B$2:$B$8</c:f>
              <c:numCache>
                <c:formatCode>General</c:formatCode>
                <c:ptCount val="7"/>
                <c:pt idx="0">
                  <c:v>5554</c:v>
                </c:pt>
                <c:pt idx="1">
                  <c:v>557</c:v>
                </c:pt>
                <c:pt idx="2">
                  <c:v>6758</c:v>
                </c:pt>
                <c:pt idx="3">
                  <c:v>18114</c:v>
                </c:pt>
                <c:pt idx="4">
                  <c:v>136</c:v>
                </c:pt>
                <c:pt idx="5">
                  <c:v>709</c:v>
                </c:pt>
                <c:pt idx="6">
                  <c:v>2796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928277194517356"/>
          <c:y val="0.12281183602049744"/>
          <c:w val="0.2229394502770487"/>
          <c:h val="0.8335373703287088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US" sz="1400"/>
              <a:t>PRESUPUESTO INICIAL</a:t>
            </a:r>
          </a:p>
        </c:rich>
      </c:tx>
      <c:layout/>
      <c:overlay val="0"/>
    </c:title>
    <c:autoTitleDeleted val="0"/>
    <c:plotArea>
      <c:layout/>
      <c:pieChart>
        <c:varyColors val="1"/>
        <c:ser>
          <c:idx val="0"/>
          <c:order val="0"/>
          <c:tx>
            <c:strRef>
              <c:f>Hoja1!$B$1</c:f>
              <c:strCache>
                <c:ptCount val="1"/>
                <c:pt idx="0">
                  <c:v>PRESUPUESTO INICIAL</c:v>
                </c:pt>
              </c:strCache>
            </c:strRef>
          </c:tx>
          <c:dLbls>
            <c:dLbl>
              <c:idx val="0"/>
              <c:layout/>
              <c:tx>
                <c:rich>
                  <a:bodyPr/>
                  <a:lstStyle/>
                  <a:p>
                    <a:r>
                      <a:rPr lang="en-US"/>
                      <a:t>17.08%</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3.13%</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79.79%</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Funcionamiento  17.08%</c:v>
                </c:pt>
                <c:pt idx="1">
                  <c:v>Deuda Pública  3.13%</c:v>
                </c:pt>
                <c:pt idx="2">
                  <c:v>Inversión    79.79%</c:v>
                </c:pt>
              </c:strCache>
            </c:strRef>
          </c:cat>
          <c:val>
            <c:numRef>
              <c:f>Hoja1!$B$2:$B$4</c:f>
              <c:numCache>
                <c:formatCode>General</c:formatCode>
                <c:ptCount val="3"/>
                <c:pt idx="0">
                  <c:v>4371</c:v>
                </c:pt>
                <c:pt idx="1">
                  <c:v>800</c:v>
                </c:pt>
                <c:pt idx="2">
                  <c:v>20417</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Servicios Personales 
9.40%</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Gastos Generales
8.64%</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Transferencias
6.58%</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Hoja1!$A$2:$A$7</c:f>
              <c:strCache>
                <c:ptCount val="6"/>
                <c:pt idx="0">
                  <c:v>Servicios Personales  57.25%</c:v>
                </c:pt>
                <c:pt idx="1">
                  <c:v>Gastos Generales  19.24%</c:v>
                </c:pt>
                <c:pt idx="2">
                  <c:v>Transferencias   14.25%</c:v>
                </c:pt>
                <c:pt idx="3">
                  <c:v>Fondo de  Contingncias  2.38%</c:v>
                </c:pt>
                <c:pt idx="4">
                  <c:v>Concejo Municipal  4.76%</c:v>
                </c:pt>
                <c:pt idx="5">
                  <c:v>Personeria Municipal   2.11%</c:v>
                </c:pt>
              </c:strCache>
            </c:strRef>
          </c:cat>
          <c:val>
            <c:numRef>
              <c:f>Hoja1!$B$2:$B$7</c:f>
              <c:numCache>
                <c:formatCode>General</c:formatCode>
                <c:ptCount val="6"/>
                <c:pt idx="0">
                  <c:v>2502</c:v>
                </c:pt>
                <c:pt idx="1">
                  <c:v>841</c:v>
                </c:pt>
                <c:pt idx="2">
                  <c:v>623</c:v>
                </c:pt>
                <c:pt idx="3">
                  <c:v>104</c:v>
                </c:pt>
                <c:pt idx="4">
                  <c:v>207</c:v>
                </c:pt>
                <c:pt idx="5">
                  <c:v>92</c:v>
                </c:pt>
              </c:numCache>
            </c:numRef>
          </c:val>
        </c:ser>
        <c:dLbls>
          <c:showLegendKey val="0"/>
          <c:showVal val="0"/>
          <c:showCatName val="0"/>
          <c:showSerName val="0"/>
          <c:showPercent val="1"/>
          <c:showBubbleSize val="0"/>
          <c:showLeaderLines val="1"/>
        </c:dLbls>
        <c:firstSliceAng val="0"/>
      </c:pieChart>
    </c:plotArea>
    <c:legend>
      <c:legendPos val="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Hoja1!$B$1</c:f>
              <c:strCache>
                <c:ptCount val="1"/>
                <c:pt idx="0">
                  <c:v>Ppto Inicial</c:v>
                </c:pt>
              </c:strCache>
            </c:strRef>
          </c:tx>
          <c:invertIfNegative val="0"/>
          <c:cat>
            <c:strRef>
              <c:f>Hoja1!$A$2:$A$3</c:f>
              <c:strCache>
                <c:ptCount val="2"/>
                <c:pt idx="0">
                  <c:v>Gastos de Funcionamiento</c:v>
                </c:pt>
                <c:pt idx="1">
                  <c:v>Gastos de Inversion</c:v>
                </c:pt>
              </c:strCache>
            </c:strRef>
          </c:cat>
          <c:val>
            <c:numRef>
              <c:f>Hoja1!$B$2:$B$3</c:f>
              <c:numCache>
                <c:formatCode>General</c:formatCode>
                <c:ptCount val="2"/>
                <c:pt idx="0">
                  <c:v>4371</c:v>
                </c:pt>
                <c:pt idx="1">
                  <c:v>20417</c:v>
                </c:pt>
              </c:numCache>
            </c:numRef>
          </c:val>
        </c:ser>
        <c:ser>
          <c:idx val="1"/>
          <c:order val="1"/>
          <c:tx>
            <c:strRef>
              <c:f>Hoja1!$C$1</c:f>
              <c:strCache>
                <c:ptCount val="1"/>
                <c:pt idx="0">
                  <c:v>Adiciones</c:v>
                </c:pt>
              </c:strCache>
            </c:strRef>
          </c:tx>
          <c:invertIfNegative val="0"/>
          <c:cat>
            <c:strRef>
              <c:f>Hoja1!$A$2:$A$3</c:f>
              <c:strCache>
                <c:ptCount val="2"/>
                <c:pt idx="0">
                  <c:v>Gastos de Funcionamiento</c:v>
                </c:pt>
                <c:pt idx="1">
                  <c:v>Gastos de Inversion</c:v>
                </c:pt>
              </c:strCache>
            </c:strRef>
          </c:cat>
          <c:val>
            <c:numRef>
              <c:f>Hoja1!$C$2:$C$3</c:f>
              <c:numCache>
                <c:formatCode>General</c:formatCode>
                <c:ptCount val="2"/>
                <c:pt idx="0">
                  <c:v>1491</c:v>
                </c:pt>
                <c:pt idx="1">
                  <c:v>7245</c:v>
                </c:pt>
              </c:numCache>
            </c:numRef>
          </c:val>
        </c:ser>
        <c:ser>
          <c:idx val="2"/>
          <c:order val="2"/>
          <c:tx>
            <c:strRef>
              <c:f>Hoja1!$D$1</c:f>
              <c:strCache>
                <c:ptCount val="1"/>
                <c:pt idx="0">
                  <c:v>Ppto Definitivo</c:v>
                </c:pt>
              </c:strCache>
            </c:strRef>
          </c:tx>
          <c:invertIfNegative val="0"/>
          <c:cat>
            <c:strRef>
              <c:f>Hoja1!$A$2:$A$3</c:f>
              <c:strCache>
                <c:ptCount val="2"/>
                <c:pt idx="0">
                  <c:v>Gastos de Funcionamiento</c:v>
                </c:pt>
                <c:pt idx="1">
                  <c:v>Gastos de Inversion</c:v>
                </c:pt>
              </c:strCache>
            </c:strRef>
          </c:cat>
          <c:val>
            <c:numRef>
              <c:f>Hoja1!$D$2:$D$3</c:f>
              <c:numCache>
                <c:formatCode>General</c:formatCode>
                <c:ptCount val="2"/>
                <c:pt idx="0">
                  <c:v>6448</c:v>
                </c:pt>
                <c:pt idx="1">
                  <c:v>26583</c:v>
                </c:pt>
              </c:numCache>
            </c:numRef>
          </c:val>
        </c:ser>
        <c:dLbls>
          <c:showLegendKey val="0"/>
          <c:showVal val="0"/>
          <c:showCatName val="0"/>
          <c:showSerName val="0"/>
          <c:showPercent val="0"/>
          <c:showBubbleSize val="0"/>
        </c:dLbls>
        <c:gapWidth val="150"/>
        <c:axId val="1365352912"/>
        <c:axId val="1365351824"/>
      </c:barChart>
      <c:catAx>
        <c:axId val="1365352912"/>
        <c:scaling>
          <c:orientation val="minMax"/>
        </c:scaling>
        <c:delete val="0"/>
        <c:axPos val="b"/>
        <c:numFmt formatCode="General" sourceLinked="0"/>
        <c:majorTickMark val="out"/>
        <c:minorTickMark val="none"/>
        <c:tickLblPos val="nextTo"/>
        <c:crossAx val="1365351824"/>
        <c:crosses val="autoZero"/>
        <c:auto val="1"/>
        <c:lblAlgn val="ctr"/>
        <c:lblOffset val="100"/>
        <c:noMultiLvlLbl val="0"/>
      </c:catAx>
      <c:valAx>
        <c:axId val="1365351824"/>
        <c:scaling>
          <c:orientation val="minMax"/>
        </c:scaling>
        <c:delete val="0"/>
        <c:axPos val="l"/>
        <c:majorGridlines/>
        <c:numFmt formatCode="General" sourceLinked="1"/>
        <c:majorTickMark val="out"/>
        <c:minorTickMark val="none"/>
        <c:tickLblPos val="nextTo"/>
        <c:crossAx val="136535291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layout/>
      <c:overlay val="0"/>
    </c:title>
    <c:autoTitleDeleted val="0"/>
    <c:plotArea>
      <c:layout/>
      <c:barChart>
        <c:barDir val="col"/>
        <c:grouping val="clustered"/>
        <c:varyColors val="0"/>
        <c:ser>
          <c:idx val="0"/>
          <c:order val="0"/>
          <c:tx>
            <c:v>Adiciones</c:v>
          </c:tx>
          <c:invertIfNegative val="0"/>
          <c:cat>
            <c:strRef>
              <c:f>'GRAFICO-GTOS-GRACIE'!$C$40:$C$49</c:f>
              <c:strCache>
                <c:ptCount val="8"/>
                <c:pt idx="0">
                  <c:v>Salud</c:v>
                </c:pt>
                <c:pt idx="1">
                  <c:v>Fondo de Seguridad</c:v>
                </c:pt>
                <c:pt idx="2">
                  <c:v>Estmpilla pro Cultura</c:v>
                </c:pt>
                <c:pt idx="3">
                  <c:v>Estmpilla pro Tercera Edad</c:v>
                </c:pt>
                <c:pt idx="4">
                  <c:v>Transferencias Alumbrado Publico</c:v>
                </c:pt>
                <c:pt idx="5">
                  <c:v>Otras inversiones</c:v>
                </c:pt>
                <c:pt idx="6">
                  <c:v>Sistema General de Participaciones</c:v>
                </c:pt>
                <c:pt idx="7">
                  <c:v>Sistema General de Regalías</c:v>
                </c:pt>
              </c:strCache>
            </c:strRef>
          </c:cat>
          <c:val>
            <c:numRef>
              <c:f>'GRAFICO-GTOS-GRACIE'!$D$40:$D$49</c:f>
              <c:numCache>
                <c:formatCode>_(* #,##0_);_(* \(#,##0\);_(* "-"_);_(@_)</c:formatCode>
                <c:ptCount val="10"/>
                <c:pt idx="0">
                  <c:v>2095</c:v>
                </c:pt>
                <c:pt idx="1">
                  <c:v>79</c:v>
                </c:pt>
                <c:pt idx="2">
                  <c:v>89</c:v>
                </c:pt>
                <c:pt idx="3">
                  <c:v>577</c:v>
                </c:pt>
                <c:pt idx="4">
                  <c:v>486</c:v>
                </c:pt>
                <c:pt idx="5">
                  <c:v>2998</c:v>
                </c:pt>
                <c:pt idx="6">
                  <c:v>839</c:v>
                </c:pt>
                <c:pt idx="7">
                  <c:v>5238</c:v>
                </c:pt>
              </c:numCache>
            </c:numRef>
          </c:val>
        </c:ser>
        <c:dLbls>
          <c:showLegendKey val="0"/>
          <c:showVal val="0"/>
          <c:showCatName val="0"/>
          <c:showSerName val="0"/>
          <c:showPercent val="0"/>
          <c:showBubbleSize val="0"/>
        </c:dLbls>
        <c:gapWidth val="150"/>
        <c:axId val="1365343664"/>
        <c:axId val="1365344208"/>
      </c:barChart>
      <c:catAx>
        <c:axId val="1365343664"/>
        <c:scaling>
          <c:orientation val="minMax"/>
        </c:scaling>
        <c:delete val="0"/>
        <c:axPos val="b"/>
        <c:numFmt formatCode="General" sourceLinked="1"/>
        <c:majorTickMark val="out"/>
        <c:minorTickMark val="none"/>
        <c:tickLblPos val="nextTo"/>
        <c:crossAx val="1365344208"/>
        <c:crosses val="autoZero"/>
        <c:auto val="1"/>
        <c:lblAlgn val="ctr"/>
        <c:lblOffset val="100"/>
        <c:noMultiLvlLbl val="0"/>
      </c:catAx>
      <c:valAx>
        <c:axId val="1365344208"/>
        <c:scaling>
          <c:orientation val="minMax"/>
        </c:scaling>
        <c:delete val="0"/>
        <c:axPos val="l"/>
        <c:majorGridlines/>
        <c:numFmt formatCode="_(* #,##0_);_(* \(#,##0\);_(* &quot;-&quot;_);_(@_)" sourceLinked="1"/>
        <c:majorTickMark val="out"/>
        <c:minorTickMark val="none"/>
        <c:tickLblPos val="nextTo"/>
        <c:crossAx val="136534366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51AFB-EFC3-4941-9F0F-56AB1A2D2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8489</TotalTime>
  <Pages>18</Pages>
  <Words>2202</Words>
  <Characters>12113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214</cp:revision>
  <cp:lastPrinted>2016-12-25T22:31:00Z</cp:lastPrinted>
  <dcterms:created xsi:type="dcterms:W3CDTF">2016-07-21T21:23:00Z</dcterms:created>
  <dcterms:modified xsi:type="dcterms:W3CDTF">2016-12-25T22:31:00Z</dcterms:modified>
</cp:coreProperties>
</file>