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AD4C67" w:rsidRDefault="0067758A" w:rsidP="0067758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AD4C67" w:rsidRDefault="00AD4C67" w:rsidP="002776AC">
      <w:pPr>
        <w:rPr>
          <w:b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1420"/>
        <w:gridCol w:w="1414"/>
        <w:gridCol w:w="1340"/>
        <w:gridCol w:w="1360"/>
      </w:tblGrid>
      <w:tr w:rsidR="00CC769E" w:rsidRPr="00CC769E" w:rsidTr="00CC769E">
        <w:trPr>
          <w:trHeight w:val="315"/>
        </w:trPr>
        <w:tc>
          <w:tcPr>
            <w:tcW w:w="9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CC769E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GOBERNACIÓN DEL TOLIMA - SECTOR CENTRAL</w:t>
            </w:r>
          </w:p>
        </w:tc>
      </w:tr>
      <w:tr w:rsidR="00CC769E" w:rsidRPr="00CC769E" w:rsidTr="00CC769E">
        <w:trPr>
          <w:trHeight w:val="315"/>
        </w:trPr>
        <w:tc>
          <w:tcPr>
            <w:tcW w:w="9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CC769E" w:rsidRPr="00CC769E" w:rsidTr="00CC769E">
        <w:trPr>
          <w:trHeight w:val="27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CC769E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CC769E" w:rsidRPr="00CC769E" w:rsidTr="00CC769E">
        <w:trPr>
          <w:trHeight w:val="525"/>
        </w:trPr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E26B0A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E26B0A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E26B0A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E26B0A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6B0A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ACTIVOS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1,787,220,612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1,690,436,608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96,784,004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5.73%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EFECTIVO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353,810,294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464,704,542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-110,894,248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-23.86%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CAJA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27,143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32,994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-5,851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-17.73%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DEPÓSITOS EN INSTITUCIONES FINANCIERAS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353,783,151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464,671,548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-110,888,397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-23.86%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INVERSIONES E INSTRUMENTOS DERIVADOS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3,879,413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3,857,847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21,566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0.56%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INVERSIONES ADMINISTRACIÓN DE LIQUIDEZ EN TÍTULOS PARTICIPATIVOS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0.00%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CUOTAS O PARTES DE INTERÉS SOCIAL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INVERSIONES PATRIMONIALES EN ENTIDADES NO CONTROLADAS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3,711,692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3,621,292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90,400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2.50%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INVERSIONES PATRIMONIALES EN ENTIDADES CONTROLADAS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1,092,179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1,095,732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-3,553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-0.32%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INVERSIONES PATRIMONIALES EN ENTIDADES EN LIQUIDACIÓN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72,224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72,224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0.00%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PROVISIÓN PARA PROTECCIÓN DE INVERSIONES (CR)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-1,006,682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-941,401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-65,281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6.93%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RENTAS POR COBRAR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9,931,301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9,262,357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668,944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7.22%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VIGENCIA ACTUAL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3,524,273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2,686,008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838,265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31.21%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VIGENCIAS ANTERIORES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6,407,028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6,576,349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-169,321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-2.57%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DEUDORES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250,118,811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181,650,797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68,468,014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37.69%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INGRESOS NO TRIBUTARIOS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24,009,426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24,802,908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-793,482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-3.20%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VENTA DE BIENES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3,423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-3,423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-100.00%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PRESTACIÓN DE SERVICIOS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28,255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33,539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-5,284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-15.75%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TRANSFERENCIAS POR COBRAR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71,717,709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64,704,375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7,013,334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10.84%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AVANCES Y ANTICIPOS ENTREGADOS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20,240,539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10,971,162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9,269,377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84.49%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ANTICIPOS O SALDOS A FAVOR POR IMPUESTOS Y CONTRIBUCIONES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-161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-42.04%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RECURSOS ENTREGADOS EN ADMINISTRACIÓN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109,025,403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52,852,256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56,173,147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106.28%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lastRenderedPageBreak/>
              <w:t xml:space="preserve">DEPÓSITOS ENTREGADOS EN GARANTÍA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11,394,180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13,248,938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-1,854,758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-14.00%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DEUDORES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13,703,077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15,033,813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-1,330,736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-8.85%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PROPIEDADES, PLANTA Y EQUIPO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122,082,319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123,831,440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-1,749,121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-1.41%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TERRENOS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45,928,031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43,360,440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2,567,591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5.92%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SEMOVIENTES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134,345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138,664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-4,319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-3.11%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PLANTACIONES AGRÍCOLAS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98,287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98,287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CONSTRUCCIONES EN CURSO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35,208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35,208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BIENES MUEBLES EN BODEGA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9,168,209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8,324,325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843,884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10.14%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PROPIEDADES, PLANTA Y EQUIPO NO EXPLOTADOS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4,851,538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2,324,608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2,526,930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108.70%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EDIFICACIONES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58,309,375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62,524,911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-4,215,536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-6.74%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REDES, LÍNEAS Y CABLES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544,180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544,180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MAQUINARIA Y EQUIPO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17,544,068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22,012,061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-4,467,993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-20.30%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EQUIPO MÉDICO Y CIENTÍFICO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4,328,921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3,949,030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379,891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9.62%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MUEBLES, ENSERES Y EQUIPO DE OFICINA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17,698,690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16,948,799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749,891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4.42%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EQUIPOS DE COMUNICACIÓN Y COMPUTACIÓN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36,383,966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34,969,385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1,414,581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4.05%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EQUIPOS DE TRANSPORTE, TRACCIÓN Y ELEVACIÓN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5,145,347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6,761,471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-1,616,124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-23.90%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EQUIPOS DE COMEDOR, COCINA, DESPENSA Y HOTELERÍA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916,723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683,698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233,025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34.08%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DEPRECIACIÓN ACUMULADA (CR)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-77,660,420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-77,660,420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AMORTIZACIÓN ACUMULADA (CR)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-148,191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-148,191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PROVISIONES PARA PROTECCIÓN DE PROPIEDADES, PLANTA Y EQUIPO (CR)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-1,195,958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-1,195,958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BIENES DE USO PÚBLICO E HISTÓRICOS Y CULTURALES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145,316,429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96,443,148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48,873,281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50.68%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BIENES DE USO PÚBLICO EN SERVICIO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1,528,411,221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1,460,742,071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67,669,150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4.63%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BIENES HISTÓRICOS Y CULTURALES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1,304,985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1,304,985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0.00%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AMORTIZACIÓN ACUMULADA DE BIENES DE USO PÚBLICO (CR)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-1,384,399,777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-1,365,603,908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-18,795,869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1.38%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ACTIVOS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902,082,045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810,686,477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91,395,568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11.27%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RESERVA FINANCIERA ACTUARIAL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745,962,063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670,118,324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75,843,739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11.32%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BIENES Y SERVICIOS PAGADOS POR ANTICIPADO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5,518,784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6,062,993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-544,209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-8.98%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CARGOS DIFERIDOS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22,532,832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21,093,754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1,439,078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6.82%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BIENES ENTREGADOS A TERCEROS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2,530,826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2,530,826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AMORTIZACIÓN ACUMULADA DE BIENES ENTREGADOS A TERCEROS (CR)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-490,452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-490,452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DERECHOS EN FIDEICOMISO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88,652,410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88,652,410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BIENES DE ARTE Y CULTURA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1,491,120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1,320,582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170,538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12.91%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lastRenderedPageBreak/>
              <w:t xml:space="preserve">INTANGIBLES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5,972,168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4,965,848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1,006,320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20.26%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AMORTIZACIÓN ACUMULADA DE INTANGIBLES (CR)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-775,927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-738,709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-37,218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5.04%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VALORIZACIONES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30,688,221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25,180,880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5,507,341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21.87%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PASIVOS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891,053,592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809,936,556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81,117,036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10.02%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OPERACIONES DE CRÉDITO PÚBLICO Y FINANCIAMIENTO CON BANCA CENTRAL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104,965,952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125,144,805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-20,178,853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-16.12%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OPERACIONES DE CRÉDITO PÚBLICO INTERNAS DE LARGO PLAZO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104,965,952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125,144,805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-20,178,853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-16.12%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CUENTAS POR PAGAR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164,231,662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102,863,113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61,368,549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59.66%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ADQUISICIÓN DE BIENES Y SERVICIOS NACIONALES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11,309,490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14,603,354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-3,293,864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-22.56%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TRANSFERENCIAS POR PAGAR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442,141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44,886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397,255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885.03%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INTERESES POR PAGAR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5,112,567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5,112,567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ACREEDORES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4,360,374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5,160,766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-800,392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-15.51%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RETENCIÓN EN LA FUENTE E IMPUESTO DE TIMBRE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1,253,288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961,388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291,900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30.36%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IMPUESTOS, CONTRIBUCIONES Y TASAS POR PAGAR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200,571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166,880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33,691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20.19%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IMPUESTO AL VALOR AGREGADO - IVA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13,409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14,704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-1,295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-8.81%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RECURSOS RECIBIDOS EN ADMINISTRACIÓN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115,577,555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56,028,964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59,548,591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106.28%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DEPÓSITOS RECIBIDOS EN GARANTÍA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172,852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287,277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-114,425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-39.83%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CRÉDITOS JUDICIALES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3,511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-3,332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-94.90%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ADMINISTRACIÓN Y PRESTACIÓN DE SERVICIOS DE SALUD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25,789,236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22,254,039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3,535,197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15.89%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OBLIGACIONES LABORALES Y DE SEGURIDAD SOCIAL INTEGRAL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13,519,247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56,207,728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-42,688,481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-75.95%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SALARIOS Y PRESTACIONES SOCIALES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13,515,754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9,641,689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3,874,065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40.18%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PENSIONES Y PRESTACIONES ECONÓMICAS POR PAGAR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3,493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46,566,039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-46,562,546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-99.99%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PASIVOS ESTIMADOS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605,599,135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523,585,483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82,013,652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15.66%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PROVISIÓN PARA CONTINGENCIAS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81,669,051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61,051,633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20,617,418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33.77%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PROVISIÓN PARA PRESTACIONES SOCIALES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PROVISIÓN PARA PENSIONES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468,298,671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462,533,850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5,764,821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1.25%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PROVISIONES DIVERSAS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55,631,409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55,631,409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PASIVOS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2,737,596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2,135,427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602,169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28.20%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RECAUDOS A FAVOR DE TERCEROS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2,725,907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2,117,476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608,431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28.73%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INGRESOS RECIBIDOS POR ANTICIPADO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11,689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17,951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-6,262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-34.88%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PATRIMONIO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896,167,020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880,500,052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15,666,968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1.78%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lastRenderedPageBreak/>
              <w:t xml:space="preserve">HACIENDA PÚBLICA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896,167,020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880,500,052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15,666,968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1.78%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CAPITAL FISCAL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831,038,024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649,590,057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181,447,967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27.93%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RESULTADO DEL EJERCICIO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47,358,985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219,686,317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-172,327,332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-78.44%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SUPERÁVIT POR VALORIZACIÓN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30,688,221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25,180,880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5,507,341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21.87%</w:t>
            </w:r>
          </w:p>
        </w:tc>
      </w:tr>
      <w:tr w:rsidR="00CC769E" w:rsidRPr="00CC769E" w:rsidTr="00CC769E">
        <w:trPr>
          <w:trHeight w:val="510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SUPERÁVIT POR EL MÉTODO DE PARTICIPACIÓN PATRIMONIAL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1,790,927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1,790,927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0.00%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SUPERÁVIT POR DONACIÓN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8,514,971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8,505,319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9,652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0.11%</w:t>
            </w:r>
          </w:p>
        </w:tc>
      </w:tr>
      <w:tr w:rsidR="00CC769E" w:rsidRPr="00CC769E" w:rsidTr="00CC769E">
        <w:trPr>
          <w:trHeight w:val="25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PATRIMONIO PÚBLICO INCORPORADO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2,311,015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5,518,833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-3,207,818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-58.12%</w:t>
            </w:r>
          </w:p>
        </w:tc>
      </w:tr>
      <w:tr w:rsidR="00CC769E" w:rsidRPr="00CC769E" w:rsidTr="00CC769E">
        <w:trPr>
          <w:trHeight w:val="525"/>
        </w:trPr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PROVISIONES, AGOTAMIENTO, DEPRECIACIONES Y AMORTIZACIONES (DB)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-25,535,123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-29,772,281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4,237,158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769E" w:rsidRPr="00CC769E" w:rsidRDefault="00CC769E" w:rsidP="00CC769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CC769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-14.23%</w:t>
            </w:r>
          </w:p>
        </w:tc>
      </w:tr>
    </w:tbl>
    <w:p w:rsidR="002776AC" w:rsidRDefault="002776AC" w:rsidP="00E67C4A">
      <w:pPr>
        <w:spacing w:before="0" w:after="0"/>
        <w:rPr>
          <w:b/>
        </w:rPr>
      </w:pPr>
    </w:p>
    <w:p w:rsidR="00755346" w:rsidRDefault="00A05307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Gobernación del Tolima – Sector Central, en el balance general a diciembre 31 de 2015, registra un incremento de tan solo el 5.73% comparado con lo reflejado en la vigencia 2014,  creció la suma de $96.784.004 miles de pesos, el Pasivo por su parte también </w:t>
      </w:r>
      <w:r w:rsidR="00755346">
        <w:rPr>
          <w:rFonts w:ascii="Tahoma" w:hAnsi="Tahoma" w:cs="Tahoma"/>
        </w:rPr>
        <w:t>creció el 10.02% la suma de $81.117.036 miles de pesos y el Patrimonio aumento tan solo el 1.78% es decir la suma de $15.666.968 miles de pesos.</w:t>
      </w:r>
    </w:p>
    <w:p w:rsidR="00755346" w:rsidRDefault="00755346" w:rsidP="00E67C4A">
      <w:pPr>
        <w:spacing w:before="0" w:after="0"/>
        <w:jc w:val="both"/>
        <w:rPr>
          <w:rFonts w:ascii="Tahoma" w:hAnsi="Tahoma" w:cs="Tahoma"/>
        </w:rPr>
      </w:pPr>
    </w:p>
    <w:p w:rsidR="00A05307" w:rsidRDefault="00755346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acuerdo con el cuadro de análisis horizontal que nos precede, </w:t>
      </w:r>
      <w:r w:rsidR="00A0530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podemos manifestar que  no obstante el incremento del activo total, cuentas como el grupo del efectivo registra una disminución del 23.86%</w:t>
      </w:r>
      <w:r w:rsidR="00E67C4A">
        <w:rPr>
          <w:rFonts w:ascii="Tahoma" w:hAnsi="Tahoma" w:cs="Tahoma"/>
        </w:rPr>
        <w:t xml:space="preserve"> para la vigencia 2015, que comparado con el saldo registrado en el 2014 presenta una variación absoluta de $-110.894.248 miles de pesos.</w:t>
      </w:r>
    </w:p>
    <w:p w:rsidR="00E67C4A" w:rsidRDefault="00E67C4A" w:rsidP="00E67C4A">
      <w:pPr>
        <w:spacing w:before="0" w:after="0"/>
        <w:jc w:val="both"/>
        <w:rPr>
          <w:rFonts w:ascii="Tahoma" w:hAnsi="Tahoma" w:cs="Tahoma"/>
        </w:rPr>
      </w:pPr>
    </w:p>
    <w:p w:rsidR="00E67C4A" w:rsidRDefault="00E67C4A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Propiedad Planta  y Equipo, también refleja una disminución del 1.41%, cuya disminución está dada por las cuentas Edificaciones con un porcentaje del -6.74% y el  Equipo de Transporte, Tracción y Elevación con el -23.90%.</w:t>
      </w:r>
    </w:p>
    <w:p w:rsidR="00E67C4A" w:rsidRDefault="00E67C4A" w:rsidP="00E67C4A">
      <w:pPr>
        <w:spacing w:before="0" w:after="0"/>
        <w:jc w:val="both"/>
        <w:rPr>
          <w:rFonts w:ascii="Tahoma" w:hAnsi="Tahoma" w:cs="Tahoma"/>
        </w:rPr>
      </w:pPr>
    </w:p>
    <w:p w:rsidR="00E67C4A" w:rsidRDefault="00E67C4A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demás cuentas que componen el Activo</w:t>
      </w:r>
      <w:r w:rsidR="005C09C0">
        <w:rPr>
          <w:rFonts w:ascii="Tahoma" w:hAnsi="Tahoma" w:cs="Tahoma"/>
        </w:rPr>
        <w:t>, como las Inversiones en Instrumentos Derivados crecieron el 0.56%, las Rentas por Cobrar el 7.22%</w:t>
      </w:r>
      <w:r w:rsidR="00F87AA6">
        <w:rPr>
          <w:rFonts w:ascii="Tahoma" w:hAnsi="Tahoma" w:cs="Tahoma"/>
        </w:rPr>
        <w:t>, los Deudores el 37.69% de las sub cuentas que componen el grupo Deudores la de mayor incremento fue los Recursos Entregados en Administración con un porcentaje de aumento del 106.28%, que en términos reales equivale a $56.173.147 miles de pesos.</w:t>
      </w:r>
    </w:p>
    <w:p w:rsidR="00F87AA6" w:rsidRDefault="00F87AA6" w:rsidP="00E67C4A">
      <w:pPr>
        <w:spacing w:before="0" w:after="0"/>
        <w:jc w:val="both"/>
        <w:rPr>
          <w:rFonts w:ascii="Tahoma" w:hAnsi="Tahoma" w:cs="Tahoma"/>
        </w:rPr>
      </w:pPr>
    </w:p>
    <w:p w:rsidR="00F87AA6" w:rsidRDefault="005235DA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Así mismo, cuentas como los Bienes de Uso Público creció el 50.68% y los Otros Activos el 11.27%, con respecto a la vigencia 2014.</w:t>
      </w:r>
    </w:p>
    <w:p w:rsidR="00A32268" w:rsidRDefault="00A32268" w:rsidP="00E67C4A">
      <w:pPr>
        <w:spacing w:before="0" w:after="0"/>
        <w:jc w:val="both"/>
        <w:rPr>
          <w:rFonts w:ascii="Tahoma" w:hAnsi="Tahoma" w:cs="Tahoma"/>
        </w:rPr>
      </w:pPr>
    </w:p>
    <w:p w:rsidR="00A32268" w:rsidRDefault="00A32268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cuanto al </w:t>
      </w:r>
      <w:r w:rsidR="00EB726A">
        <w:rPr>
          <w:rFonts w:ascii="Tahoma" w:hAnsi="Tahoma" w:cs="Tahoma"/>
        </w:rPr>
        <w:t>Pasivo, que al cierre de la vigencia 2015 refleja un saldo de $891.053.592 miles de pesos, comparado con lo registrado al cierre de la vigencia 2014, nos muestra un incremento del 10.02% la suma de $81.117.036 miles de pesos como variación absoluta.</w:t>
      </w:r>
    </w:p>
    <w:p w:rsidR="00EB726A" w:rsidRDefault="00EB726A" w:rsidP="00E67C4A">
      <w:pPr>
        <w:spacing w:before="0" w:after="0"/>
        <w:jc w:val="both"/>
        <w:rPr>
          <w:rFonts w:ascii="Tahoma" w:hAnsi="Tahoma" w:cs="Tahoma"/>
        </w:rPr>
      </w:pPr>
    </w:p>
    <w:p w:rsidR="00EB726A" w:rsidRDefault="00885B7E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Es así como, las Cuentas Por Pagar se incrementaron en el 59.66%, al pasar de un saldo en el 2014 por la suma de $102.863.113 miles de pesos, a un saldo en el 2015 de $164.231.662 miles de pesos, para una variación absoluta de $61.368.549.</w:t>
      </w:r>
    </w:p>
    <w:p w:rsidR="00885B7E" w:rsidRDefault="00885B7E" w:rsidP="00E67C4A">
      <w:pPr>
        <w:spacing w:before="0" w:after="0"/>
        <w:jc w:val="both"/>
        <w:rPr>
          <w:rFonts w:ascii="Tahoma" w:hAnsi="Tahoma" w:cs="Tahoma"/>
        </w:rPr>
      </w:pPr>
    </w:p>
    <w:p w:rsidR="00885B7E" w:rsidRDefault="00885B7E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las sub cuentas que componen este grupo, la de mayor aumento fue los Recursos Recibidos en Administración con un porcentaje del 106.28%, es decir la suma de $59.548.591 miles de pesos, más que lo registrado en el 2014.</w:t>
      </w:r>
    </w:p>
    <w:p w:rsidR="00885B7E" w:rsidRDefault="00885B7E" w:rsidP="00E67C4A">
      <w:pPr>
        <w:spacing w:before="0" w:after="0"/>
        <w:jc w:val="both"/>
        <w:rPr>
          <w:rFonts w:ascii="Tahoma" w:hAnsi="Tahoma" w:cs="Tahoma"/>
        </w:rPr>
      </w:pPr>
    </w:p>
    <w:p w:rsidR="00885B7E" w:rsidRDefault="00885B7E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Obligaciones Laborales y de Seguridad Social Integral, por el contrario se redujeron en el 75.95%, pasando de un saldo en el 2014 por la suma de $56.207.728 miles de pesos, a un saldo en el 2015 por el valor de $13.519.247 miles de pesos, es decir una disminución de $42.688.481; dentro de esta obligaciones la que sufrió una disminución sustancial fue las Pensiones y Prestaciones Económicas por Pagar</w:t>
      </w:r>
      <w:r w:rsidR="0092517E">
        <w:rPr>
          <w:rFonts w:ascii="Tahoma" w:hAnsi="Tahoma" w:cs="Tahoma"/>
        </w:rPr>
        <w:t xml:space="preserve"> que se redujeron el 99.99%.</w:t>
      </w:r>
    </w:p>
    <w:p w:rsidR="0092517E" w:rsidRDefault="0092517E" w:rsidP="00E67C4A">
      <w:pPr>
        <w:spacing w:before="0" w:after="0"/>
        <w:jc w:val="both"/>
        <w:rPr>
          <w:rFonts w:ascii="Tahoma" w:hAnsi="Tahoma" w:cs="Tahoma"/>
        </w:rPr>
      </w:pPr>
    </w:p>
    <w:p w:rsidR="0092517E" w:rsidRPr="00A05307" w:rsidRDefault="0092517E" w:rsidP="00E67C4A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el  grupo del Patrimonio para la vigencia 2015, con respecto al 2014, creció tan solo el 1.78%, es decir la suma de $15.666.968 miles de pesos, esto se debió principalmente a la reducción de la cuenta Resultados del Ejercicio  la cual se redujo el 78.44%</w:t>
      </w:r>
    </w:p>
    <w:p w:rsidR="00A05307" w:rsidRDefault="00A05307" w:rsidP="00E67C4A">
      <w:pPr>
        <w:spacing w:before="0" w:after="0"/>
        <w:rPr>
          <w:b/>
        </w:rPr>
      </w:pPr>
    </w:p>
    <w:p w:rsidR="0092517E" w:rsidRDefault="00D8073C" w:rsidP="00E67C4A">
      <w:pPr>
        <w:spacing w:before="0" w:after="0"/>
        <w:rPr>
          <w:b/>
        </w:rPr>
      </w:pPr>
      <w:r>
        <w:rPr>
          <w:b/>
          <w:noProof/>
        </w:rPr>
        <w:drawing>
          <wp:inline distT="0" distB="0" distL="0" distR="0" wp14:anchorId="1C2BEAA3">
            <wp:extent cx="5370830" cy="3103245"/>
            <wp:effectExtent l="0" t="0" r="127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830" cy="310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5307" w:rsidRDefault="00A05307" w:rsidP="00E67C4A">
      <w:pPr>
        <w:spacing w:before="0" w:after="0"/>
        <w:rPr>
          <w:b/>
        </w:rPr>
      </w:pPr>
    </w:p>
    <w:p w:rsidR="00A05307" w:rsidRDefault="00A05307" w:rsidP="00E67C4A">
      <w:pPr>
        <w:spacing w:before="0" w:after="0"/>
        <w:rPr>
          <w:b/>
        </w:rPr>
      </w:pPr>
    </w:p>
    <w:p w:rsidR="00A05307" w:rsidRDefault="00A05307" w:rsidP="002776AC">
      <w:pPr>
        <w:rPr>
          <w:b/>
        </w:rPr>
      </w:pPr>
    </w:p>
    <w:p w:rsidR="002776AC" w:rsidRPr="004357CB" w:rsidRDefault="00BC5D7D" w:rsidP="00BC5D7D">
      <w:pPr>
        <w:pStyle w:val="Prrafodelista"/>
        <w:numPr>
          <w:ilvl w:val="0"/>
          <w:numId w:val="50"/>
        </w:numPr>
        <w:rPr>
          <w:b/>
          <w:sz w:val="24"/>
          <w:szCs w:val="24"/>
        </w:rPr>
      </w:pPr>
      <w:r w:rsidRPr="004357CB">
        <w:rPr>
          <w:rFonts w:ascii="Tahoma" w:hAnsi="Tahoma" w:cs="Tahoma"/>
          <w:b/>
          <w:sz w:val="24"/>
          <w:szCs w:val="24"/>
        </w:rPr>
        <w:t>ESTADO DE ACTIVIDAD FINANCIERA, ECONÓMICA, SOCIAL</w:t>
      </w:r>
    </w:p>
    <w:p w:rsidR="00BC5D7D" w:rsidRPr="00BC5D7D" w:rsidRDefault="00BC5D7D" w:rsidP="002776AC">
      <w:pPr>
        <w:pStyle w:val="Prrafodelista"/>
        <w:rPr>
          <w:b/>
        </w:rPr>
      </w:pPr>
      <w:r w:rsidRPr="00BC5D7D">
        <w:rPr>
          <w:rFonts w:ascii="Tahoma" w:hAnsi="Tahoma" w:cs="Tahoma"/>
          <w:b/>
        </w:rPr>
        <w:t xml:space="preserve"> </w:t>
      </w: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1340"/>
        <w:gridCol w:w="1360"/>
        <w:gridCol w:w="1329"/>
        <w:gridCol w:w="1329"/>
      </w:tblGrid>
      <w:tr w:rsidR="006B5584" w:rsidRPr="006B5584" w:rsidTr="006B5584">
        <w:trPr>
          <w:trHeight w:val="300"/>
        </w:trPr>
        <w:tc>
          <w:tcPr>
            <w:tcW w:w="9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6B5584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GOBERNACIÓN DEL TOLIMA - SECTOR CENTRAL</w:t>
            </w:r>
          </w:p>
        </w:tc>
      </w:tr>
      <w:tr w:rsidR="006B5584" w:rsidRPr="006B5584" w:rsidTr="006B5584">
        <w:trPr>
          <w:trHeight w:val="300"/>
        </w:trPr>
        <w:tc>
          <w:tcPr>
            <w:tcW w:w="9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Estado de Actividad Financiera Económica y Social Comparativo 2015 - 2014</w:t>
            </w:r>
          </w:p>
        </w:tc>
      </w:tr>
      <w:tr w:rsidR="006B5584" w:rsidRPr="006B5584" w:rsidTr="006B5584">
        <w:trPr>
          <w:trHeight w:val="27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6B5584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6B5584" w:rsidRPr="006B5584" w:rsidTr="006B5584">
        <w:trPr>
          <w:trHeight w:val="78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6B0A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B558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6B0A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B558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6B0A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B558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6B0A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B558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6B0A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B5584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831,001,607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965,996,365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-134,994,758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-13.97%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218,507,616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205,248,155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13,259,461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6.46%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186,821,673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178,233,977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8,587,696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4.82%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31,896,229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27,355,261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4,540,968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16.60%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DEVOLUCIONES Y DESCUENTOS (DB)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-210,286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-341,083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130,797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-38.35%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VENTA DE SERVICIOS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770,630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785,779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-15,149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-1.93%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EDUCATIVOS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613,810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638,893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-25,083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-3.93%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169,619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146,886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22,733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15.48%</w:t>
            </w:r>
          </w:p>
        </w:tc>
      </w:tr>
      <w:tr w:rsidR="006B5584" w:rsidRPr="006B5584" w:rsidTr="006B5584">
        <w:trPr>
          <w:trHeight w:val="45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DEVOLUCIONES, REBAJAS Y DESCUENTOS EN VENTA DE SERVICIOS (DB)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-12,799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-12,799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560,333,988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684,643,944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-124,309,956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-18.16%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429,081,854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460,963,370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-31,881,516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-6.92%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15,903,410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39,941,567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-24,038,157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-60.18%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387,578,170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398,684,335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-11,106,165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-2.79%</w:t>
            </w:r>
          </w:p>
        </w:tc>
      </w:tr>
      <w:tr w:rsidR="006B5584" w:rsidRPr="006B5584" w:rsidTr="006B5584">
        <w:trPr>
          <w:trHeight w:val="67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PENSIONES - FONDO NACIONAL DE PENSIONES DE LAS ENTIDADES TERRITORIALES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15,316,495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14,584,022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732,473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5.02%</w:t>
            </w:r>
          </w:p>
        </w:tc>
      </w:tr>
      <w:tr w:rsidR="006B5584" w:rsidRPr="006B5584" w:rsidTr="006B5584">
        <w:trPr>
          <w:trHeight w:val="45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10,283,779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7,753,446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2,530,333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32.63%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73,746,975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181,559,976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-107,813,001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-59.38%</w:t>
            </w:r>
          </w:p>
        </w:tc>
      </w:tr>
      <w:tr w:rsidR="006B5584" w:rsidRPr="006B5584" w:rsidTr="006B5584">
        <w:trPr>
          <w:trHeight w:val="45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 GENERAL DE SEGURIDAD SOCIAL EN 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193,603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193,603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57,311,556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42,120,598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15,190,958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36.07%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51,389,373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75,318,487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-23,929,114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-31.77%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51,759,406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61,659,606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-9,900,200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-16.06%</w:t>
            </w:r>
          </w:p>
        </w:tc>
      </w:tr>
      <w:tr w:rsidR="006B5584" w:rsidRPr="006B5584" w:rsidTr="006B5584">
        <w:trPr>
          <w:trHeight w:val="45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UTILIDAD POR EL MÉTODO DE PARTICIPACIÓN PATRIMONIAL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64,886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12550.48%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2,336,282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2,748,219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-411,937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-14.99%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493,742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2,102,382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-1,608,640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-76.52%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-3,265,460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8,807,763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-12,073,223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-137.07%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771,140,832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737,163,908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33,976,924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4.61%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170,063,512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173,249,958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-3,186,446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-1.84%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SUELDOS Y SALARIOS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27,951,507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22,467,373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5,484,134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24.41%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123,224,543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135,985,182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-12,760,639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-9.38%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4,408,752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3,902,929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505,823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12.96%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915,368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816,910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98,458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12.05%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13,483,303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9,976,487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3,506,816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35.15%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80,039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101,077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-21,038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-20.81%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OPERACIÓN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59,464,289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26,026,564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33,437,725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128.48%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37,665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62,335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165.50%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59,360,319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25,984,589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33,375,730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128.44%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-13.67%</w:t>
            </w:r>
          </w:p>
        </w:tc>
      </w:tr>
      <w:tr w:rsidR="006B5584" w:rsidRPr="006B5584" w:rsidTr="006B5584">
        <w:trPr>
          <w:trHeight w:val="45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45,526,728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20,290,829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25,235,899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124.37%</w:t>
            </w:r>
          </w:p>
        </w:tc>
      </w:tr>
      <w:tr w:rsidR="006B5584" w:rsidRPr="006B5584" w:rsidTr="006B5584">
        <w:trPr>
          <w:trHeight w:val="45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PROTECCIÓN DE INVERSIONES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65,281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457,476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-392,195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-85.73%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45,461,447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19,833,353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25,628,094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129.22%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8,416,285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8,894,700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-478,415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-5.38%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AL SECTOR PRIVADO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487,306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411,902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75,404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18.31%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7,928,979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8,482,798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-553,819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-6.53%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501,807,416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496,997,978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4,809,438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0.97%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407,093,571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377,668,076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29,425,495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7.79%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80,017,430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96,278,891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-16,261,461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-16.89%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2,715,504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8,530,987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-5,815,483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-68.17%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615,861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2,607,494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-1,991,633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-76.38%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1,346,312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5,505,398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-4,159,086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-75.55%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3,950,209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2,012,921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1,937,288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96.24%</w:t>
            </w:r>
          </w:p>
        </w:tc>
      </w:tr>
      <w:tr w:rsidR="006B5584" w:rsidRPr="006B5584" w:rsidTr="006B5584">
        <w:trPr>
          <w:trHeight w:val="45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5,987,247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1,046,993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4,940,254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471.85%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MEDIO AMBIENTE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81,282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3,347,218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-3,265,936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-97.57%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-11,137,398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11,703,879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-22,841,277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-195.16%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10,303,579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11,440,761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-1,137,182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-9.94%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COMISIONES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20,689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18,902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1057.75%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938,039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385,101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552,938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143.58%</w:t>
            </w:r>
          </w:p>
        </w:tc>
      </w:tr>
      <w:tr w:rsidR="006B5584" w:rsidRPr="006B5584" w:rsidTr="006B5584">
        <w:trPr>
          <w:trHeight w:val="45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PÉRDIDA POR EL MÉTODO DE PARTICIPACIÓN PATRIMONIAL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68,955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68,955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67,634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1,053,868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-986,234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-93.58%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2,646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-22,538,940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-22,538,940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COSTOS DE VENTAS Y OPERACIÓN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9,501,790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9,146,140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355,650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3.89%</w:t>
            </w:r>
          </w:p>
        </w:tc>
      </w:tr>
      <w:tr w:rsidR="006B5584" w:rsidRPr="006B5584" w:rsidTr="006B5584">
        <w:trPr>
          <w:trHeight w:val="25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 DE VENTAS DE SERVICIOS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9,501,790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9,146,140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355,650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3.89%</w:t>
            </w:r>
          </w:p>
        </w:tc>
      </w:tr>
      <w:tr w:rsidR="006B5584" w:rsidRPr="006B5584" w:rsidTr="006B5584">
        <w:trPr>
          <w:trHeight w:val="27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EDUCATIVOS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9,501,790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9,146,140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355,650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584" w:rsidRPr="006B5584" w:rsidRDefault="006B5584" w:rsidP="006B5584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B5584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3.89%</w:t>
            </w:r>
          </w:p>
        </w:tc>
      </w:tr>
    </w:tbl>
    <w:p w:rsidR="00BC5D7D" w:rsidRDefault="006B5584" w:rsidP="006B5584">
      <w:pPr>
        <w:spacing w:before="0" w:after="0"/>
        <w:jc w:val="both"/>
        <w:rPr>
          <w:noProof/>
        </w:rPr>
      </w:pPr>
      <w:r>
        <w:rPr>
          <w:noProof/>
        </w:rPr>
        <w:lastRenderedPageBreak/>
        <w:t>En el estado de actividad financiera, las Gobernación del Tolima – Sector Central registra una disminucion en sus ingresos por la suma de $134.994.758 miles de pesos, equivalente al 13.97%, los Gastos un incremento del 4.61% y los Costos de Ventas y Operación un crecimiento del 3.89%.</w:t>
      </w:r>
      <w:r w:rsidR="009577BB">
        <w:rPr>
          <w:noProof/>
        </w:rPr>
        <w:t xml:space="preserve">, comparado con las cifras reflejadas en la vigencia 2014. </w:t>
      </w:r>
    </w:p>
    <w:p w:rsidR="006B5584" w:rsidRDefault="006B5584" w:rsidP="006B5584">
      <w:pPr>
        <w:spacing w:before="0" w:after="0"/>
        <w:jc w:val="both"/>
        <w:rPr>
          <w:noProof/>
        </w:rPr>
      </w:pPr>
    </w:p>
    <w:p w:rsidR="006B5584" w:rsidRDefault="006B5584" w:rsidP="006B5584">
      <w:pPr>
        <w:spacing w:before="0" w:after="0"/>
        <w:jc w:val="both"/>
        <w:rPr>
          <w:noProof/>
        </w:rPr>
      </w:pPr>
      <w:r>
        <w:rPr>
          <w:noProof/>
        </w:rPr>
        <w:t xml:space="preserve">Con respecto a los Ingresos, las cuenta Ingresos Fiscales refleja un incremento del 6.46% es decir una cifra de $13.259.461 miles de pesos, dentro de estos los Tributarios crecieron el </w:t>
      </w:r>
      <w:r w:rsidR="00390769">
        <w:rPr>
          <w:noProof/>
        </w:rPr>
        <w:t>4.82% y los No Tributarios el 16.60%.</w:t>
      </w:r>
    </w:p>
    <w:p w:rsidR="009577BB" w:rsidRDefault="009577BB" w:rsidP="006B5584">
      <w:pPr>
        <w:spacing w:before="0" w:after="0"/>
        <w:jc w:val="both"/>
        <w:rPr>
          <w:noProof/>
        </w:rPr>
      </w:pPr>
    </w:p>
    <w:p w:rsidR="009577BB" w:rsidRDefault="009577BB" w:rsidP="006B5584">
      <w:pPr>
        <w:spacing w:before="0" w:after="0"/>
        <w:jc w:val="both"/>
        <w:rPr>
          <w:noProof/>
        </w:rPr>
      </w:pPr>
      <w:r>
        <w:rPr>
          <w:noProof/>
        </w:rPr>
        <w:t>Los Ingresos por Transferencias por el contrario, presentan una disminucion del 18.16%, ya que de un saldo en el 2014 por la suma</w:t>
      </w:r>
      <w:r w:rsidR="003A286D">
        <w:rPr>
          <w:noProof/>
        </w:rPr>
        <w:t xml:space="preserve"> </w:t>
      </w:r>
      <w:r>
        <w:rPr>
          <w:noProof/>
        </w:rPr>
        <w:t>de $684.643.944 miles de pesos</w:t>
      </w:r>
      <w:r w:rsidR="003A286D">
        <w:rPr>
          <w:noProof/>
        </w:rPr>
        <w:t>, paso a un saldo en el 2015 por valor de $560.333.988; de las cuentas que componen este grupo tenemos que el Sistema General de Participacionesse  redujo el 6.92% y l</w:t>
      </w:r>
      <w:r w:rsidR="008819F1">
        <w:rPr>
          <w:noProof/>
        </w:rPr>
        <w:t>a</w:t>
      </w:r>
      <w:r w:rsidR="003A286D">
        <w:rPr>
          <w:noProof/>
        </w:rPr>
        <w:t>s del Sistema General</w:t>
      </w:r>
      <w:r>
        <w:rPr>
          <w:noProof/>
        </w:rPr>
        <w:t xml:space="preserve"> </w:t>
      </w:r>
      <w:r w:rsidR="008819F1">
        <w:rPr>
          <w:noProof/>
        </w:rPr>
        <w:t>de Regalias se disminyeron el 59.38%.</w:t>
      </w:r>
    </w:p>
    <w:p w:rsidR="008819F1" w:rsidRDefault="008819F1" w:rsidP="006B5584">
      <w:pPr>
        <w:spacing w:before="0" w:after="0"/>
        <w:jc w:val="both"/>
        <w:rPr>
          <w:noProof/>
        </w:rPr>
      </w:pPr>
    </w:p>
    <w:p w:rsidR="008819F1" w:rsidRDefault="008819F1" w:rsidP="006B5584">
      <w:pPr>
        <w:spacing w:before="0" w:after="0"/>
        <w:jc w:val="both"/>
        <w:rPr>
          <w:noProof/>
        </w:rPr>
      </w:pPr>
      <w:r>
        <w:rPr>
          <w:noProof/>
        </w:rPr>
        <w:t>En cuanto a las tranferencias del SGP, la Participación para Salud se disminuyo en el 60.18% y la de Educación el 2.79%.</w:t>
      </w:r>
    </w:p>
    <w:p w:rsidR="008819F1" w:rsidRDefault="008819F1" w:rsidP="006B5584">
      <w:pPr>
        <w:spacing w:before="0" w:after="0"/>
        <w:jc w:val="both"/>
        <w:rPr>
          <w:noProof/>
        </w:rPr>
      </w:pPr>
    </w:p>
    <w:p w:rsidR="008819F1" w:rsidRDefault="008819F1" w:rsidP="006B5584">
      <w:pPr>
        <w:spacing w:before="0" w:after="0"/>
        <w:jc w:val="both"/>
        <w:rPr>
          <w:noProof/>
        </w:rPr>
      </w:pPr>
      <w:r>
        <w:rPr>
          <w:noProof/>
        </w:rPr>
        <w:t>Finalmente, la cuenta de Otros Ingresos redujo su saldo al cierrre de la vigencia 2015 en el 31.77%, es decir una valor real de $23.929.114 miles de pesos.</w:t>
      </w:r>
    </w:p>
    <w:p w:rsidR="008819F1" w:rsidRDefault="008819F1" w:rsidP="006B5584">
      <w:pPr>
        <w:spacing w:before="0" w:after="0"/>
        <w:jc w:val="both"/>
        <w:rPr>
          <w:noProof/>
        </w:rPr>
      </w:pPr>
    </w:p>
    <w:p w:rsidR="008819F1" w:rsidRDefault="005F2A16" w:rsidP="006B5584">
      <w:pPr>
        <w:spacing w:before="0" w:after="0"/>
        <w:jc w:val="both"/>
        <w:rPr>
          <w:noProof/>
        </w:rPr>
      </w:pPr>
      <w:r>
        <w:rPr>
          <w:noProof/>
        </w:rPr>
        <w:t>De otra parte, los Gastos del periodo 2015, crecieron a una tasa del 4.61%, es decir que de un saldo en el 2014 por la suma de $737.163.908 miles de pesos, paso en el 2015 a un saldo de $771.140.832 miles de pesos.</w:t>
      </w:r>
    </w:p>
    <w:p w:rsidR="005F2A16" w:rsidRDefault="005F2A16" w:rsidP="006B5584">
      <w:pPr>
        <w:spacing w:before="0" w:after="0"/>
        <w:jc w:val="both"/>
        <w:rPr>
          <w:noProof/>
        </w:rPr>
      </w:pPr>
    </w:p>
    <w:p w:rsidR="00D415DA" w:rsidRDefault="005F2A16" w:rsidP="006B5584">
      <w:pPr>
        <w:spacing w:before="0" w:after="0"/>
        <w:jc w:val="both"/>
        <w:rPr>
          <w:noProof/>
        </w:rPr>
      </w:pPr>
      <w:r>
        <w:rPr>
          <w:noProof/>
        </w:rPr>
        <w:t>No obstante lo anterior</w:t>
      </w:r>
      <w:r w:rsidR="00D415DA">
        <w:rPr>
          <w:noProof/>
        </w:rPr>
        <w:t>, los Gastos de Administración se redujeron en el 1.84%, siendo las Contribuciones Imputadas la provocaron dicha reduccion con el 9.38%.</w:t>
      </w:r>
    </w:p>
    <w:p w:rsidR="00D415DA" w:rsidRDefault="00D415DA" w:rsidP="006B5584">
      <w:pPr>
        <w:spacing w:before="0" w:after="0"/>
        <w:jc w:val="both"/>
        <w:rPr>
          <w:noProof/>
        </w:rPr>
      </w:pPr>
    </w:p>
    <w:p w:rsidR="005F2A16" w:rsidRDefault="00D415DA" w:rsidP="006B5584">
      <w:pPr>
        <w:spacing w:before="0" w:after="0"/>
        <w:jc w:val="both"/>
        <w:rPr>
          <w:noProof/>
        </w:rPr>
      </w:pPr>
      <w:r>
        <w:rPr>
          <w:noProof/>
        </w:rPr>
        <w:t>Los demas rubros de cuentas que componen los Gastos, reflejan comportaientos de crecimiento con respecto al 2014, es asi como, los Gastos de Operación crecieron el 128.48% y las Provisiones, Depreciasiones y Amortizaciones el 124.37%.</w:t>
      </w:r>
    </w:p>
    <w:p w:rsidR="006B652A" w:rsidRDefault="006B652A" w:rsidP="006B5584">
      <w:pPr>
        <w:spacing w:before="0" w:after="0"/>
        <w:jc w:val="both"/>
        <w:rPr>
          <w:noProof/>
        </w:rPr>
      </w:pPr>
    </w:p>
    <w:p w:rsidR="006B652A" w:rsidRDefault="006B652A" w:rsidP="006B5584">
      <w:pPr>
        <w:spacing w:before="0" w:after="0"/>
        <w:jc w:val="both"/>
        <w:rPr>
          <w:noProof/>
        </w:rPr>
      </w:pPr>
      <w:r>
        <w:rPr>
          <w:noProof/>
        </w:rPr>
        <w:t>Finalmente, en cuanto a el Gasto Publico Social estos reflejan un incremento de tan solo el 0.97%, no obstante esta situacion, al interior de las cuentas que componen este grupo se visualizan disminuciones importante como lo son la Inversion en salud que disminuyo el 16.89% un valor de $16.261.461 miles de pesos, Agua Potable y Saneamiento Basico el 68.17% la suma de $5.815.483 mies de pesos, Vivienda el 76.38% y Recrecion y Deporte el 75.55%, comparadas con las cifras reflejadas en la vigencia 2014.</w:t>
      </w:r>
    </w:p>
    <w:p w:rsidR="006B652A" w:rsidRDefault="006B652A" w:rsidP="006B5584">
      <w:pPr>
        <w:spacing w:before="0" w:after="0"/>
        <w:jc w:val="both"/>
        <w:rPr>
          <w:noProof/>
        </w:rPr>
      </w:pPr>
    </w:p>
    <w:p w:rsidR="006B652A" w:rsidRDefault="006B652A" w:rsidP="006B5584">
      <w:pPr>
        <w:spacing w:before="0" w:after="0"/>
        <w:jc w:val="both"/>
        <w:rPr>
          <w:noProof/>
        </w:rPr>
      </w:pPr>
      <w:r>
        <w:rPr>
          <w:noProof/>
        </w:rPr>
        <w:t>Ahora, la cuenta Costos de Venta y  Operación para el periodo 2015, con respecto al 2014, se incrementaron en el 3.89%, es decir la suma de $355.650 miles de pesos.</w:t>
      </w:r>
    </w:p>
    <w:p w:rsidR="006B5584" w:rsidRDefault="006B5584" w:rsidP="006B5584">
      <w:pPr>
        <w:spacing w:before="0" w:after="0"/>
        <w:jc w:val="both"/>
        <w:rPr>
          <w:noProof/>
        </w:rPr>
      </w:pPr>
    </w:p>
    <w:p w:rsidR="006B5584" w:rsidRDefault="006B5584" w:rsidP="006B5584">
      <w:pPr>
        <w:spacing w:before="0" w:after="0"/>
        <w:jc w:val="both"/>
        <w:rPr>
          <w:noProof/>
        </w:rPr>
      </w:pPr>
    </w:p>
    <w:p w:rsidR="00C33285" w:rsidRDefault="006B652A" w:rsidP="006B5584">
      <w:pPr>
        <w:spacing w:before="0" w:after="0"/>
        <w:rPr>
          <w:noProof/>
        </w:rPr>
      </w:pPr>
      <w:r>
        <w:rPr>
          <w:noProof/>
        </w:rPr>
        <w:drawing>
          <wp:inline distT="0" distB="0" distL="0" distR="0" wp14:anchorId="4031E71A">
            <wp:extent cx="5365115" cy="3359150"/>
            <wp:effectExtent l="0" t="0" r="698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15" cy="335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3285" w:rsidRDefault="00C33285" w:rsidP="006B5584">
      <w:pPr>
        <w:spacing w:before="0" w:after="0"/>
        <w:rPr>
          <w:noProof/>
        </w:rPr>
      </w:pPr>
    </w:p>
    <w:p w:rsidR="00AD4C67" w:rsidRDefault="00AD4C67" w:rsidP="006B5584">
      <w:pPr>
        <w:spacing w:before="0" w:after="0"/>
      </w:pPr>
    </w:p>
    <w:p w:rsidR="00BC5D7D" w:rsidRPr="00F56A4B" w:rsidRDefault="00814D3D" w:rsidP="006B5584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814D3D" w:rsidRDefault="00814D3D" w:rsidP="006B5584">
      <w:pPr>
        <w:spacing w:before="0" w:after="0"/>
        <w:rPr>
          <w:rFonts w:ascii="Tahoma" w:hAnsi="Tahoma" w:cs="Tahoma"/>
        </w:rPr>
      </w:pPr>
    </w:p>
    <w:p w:rsidR="00814D3D" w:rsidRPr="00814D3D" w:rsidRDefault="00814D3D" w:rsidP="006B5584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6B5584">
      <w:pPr>
        <w:spacing w:before="0" w:after="0"/>
        <w:rPr>
          <w:rFonts w:ascii="Tahoma" w:hAnsi="Tahoma" w:cs="Tahoma"/>
        </w:rPr>
      </w:pPr>
    </w:p>
    <w:p w:rsidR="00814D3D" w:rsidRDefault="00160B31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160B31" w:rsidRDefault="00160B31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6B558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4655ED">
        <w:rPr>
          <w:rFonts w:ascii="Tahoma" w:hAnsi="Tahoma" w:cs="Tahoma"/>
        </w:rPr>
        <w:t>353.810.294</w:t>
      </w:r>
    </w:p>
    <w:p w:rsidR="004655ED" w:rsidRDefault="004655ED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                   3.879.413</w:t>
      </w:r>
    </w:p>
    <w:p w:rsidR="00160B31" w:rsidRDefault="001666F5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</w:r>
      <w:r w:rsidR="004564B6">
        <w:rPr>
          <w:rFonts w:ascii="Tahoma" w:hAnsi="Tahoma" w:cs="Tahoma"/>
        </w:rPr>
        <w:t xml:space="preserve">  </w:t>
      </w:r>
      <w:r w:rsidR="004357CB">
        <w:rPr>
          <w:rFonts w:ascii="Tahoma" w:hAnsi="Tahoma" w:cs="Tahoma"/>
        </w:rPr>
        <w:t xml:space="preserve">   </w:t>
      </w:r>
      <w:r w:rsidR="004655ED">
        <w:rPr>
          <w:rFonts w:ascii="Tahoma" w:hAnsi="Tahoma" w:cs="Tahoma"/>
        </w:rPr>
        <w:t xml:space="preserve"> 9.931.301</w:t>
      </w:r>
    </w:p>
    <w:p w:rsidR="001666F5" w:rsidRPr="00814D3D" w:rsidRDefault="001666F5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56A4B">
        <w:rPr>
          <w:rFonts w:ascii="Tahoma" w:hAnsi="Tahoma" w:cs="Tahoma"/>
        </w:rPr>
        <w:t xml:space="preserve">  </w:t>
      </w:r>
      <w:r w:rsidR="004655ED">
        <w:rPr>
          <w:rFonts w:ascii="Tahoma" w:hAnsi="Tahoma" w:cs="Tahoma"/>
        </w:rPr>
        <w:t xml:space="preserve"> 250.118.811</w:t>
      </w:r>
    </w:p>
    <w:p w:rsidR="001666F5" w:rsidRDefault="001666F5" w:rsidP="006B5584">
      <w:pPr>
        <w:spacing w:before="0" w:after="0"/>
      </w:pPr>
      <w:r>
        <w:tab/>
      </w:r>
      <w:r>
        <w:tab/>
      </w:r>
      <w:r>
        <w:tab/>
        <w:t>----------------</w:t>
      </w:r>
      <w:r w:rsidR="004655ED">
        <w:t>---</w:t>
      </w:r>
    </w:p>
    <w:p w:rsidR="001666F5" w:rsidRDefault="001666F5" w:rsidP="006B5584">
      <w:pPr>
        <w:spacing w:before="0" w:after="0"/>
        <w:rPr>
          <w:rFonts w:ascii="Tahoma" w:hAnsi="Tahoma" w:cs="Tahoma"/>
        </w:rPr>
      </w:pPr>
      <w:r>
        <w:tab/>
      </w:r>
      <w:r>
        <w:tab/>
      </w:r>
      <w:r>
        <w:tab/>
      </w:r>
      <w:r w:rsidRPr="00895504">
        <w:rPr>
          <w:rFonts w:ascii="Tahoma" w:hAnsi="Tahoma" w:cs="Tahoma"/>
        </w:rPr>
        <w:t>$</w:t>
      </w:r>
      <w:r w:rsidR="004655ED">
        <w:rPr>
          <w:rFonts w:ascii="Tahoma" w:hAnsi="Tahoma" w:cs="Tahoma"/>
        </w:rPr>
        <w:t>622.739.819</w:t>
      </w:r>
    </w:p>
    <w:p w:rsidR="004655ED" w:rsidRPr="00895504" w:rsidRDefault="004655ED" w:rsidP="006B5584">
      <w:pPr>
        <w:spacing w:before="0" w:after="0"/>
        <w:rPr>
          <w:rFonts w:ascii="Tahoma" w:hAnsi="Tahoma" w:cs="Tahoma"/>
        </w:rPr>
      </w:pPr>
    </w:p>
    <w:p w:rsidR="001666F5" w:rsidRDefault="001666F5" w:rsidP="006B5584">
      <w:pPr>
        <w:spacing w:before="0" w:after="0"/>
      </w:pPr>
    </w:p>
    <w:p w:rsidR="001666F5" w:rsidRPr="00895504" w:rsidRDefault="001666F5" w:rsidP="006B558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lastRenderedPageBreak/>
        <w:t>Pasivo Corriente:</w:t>
      </w:r>
    </w:p>
    <w:p w:rsidR="004564B6" w:rsidRDefault="004564B6" w:rsidP="006B5584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Operaciones de Crédito</w:t>
      </w:r>
      <w:r w:rsidR="004357CB">
        <w:rPr>
          <w:rFonts w:ascii="Tahoma" w:hAnsi="Tahoma" w:cs="Tahoma"/>
        </w:rPr>
        <w:t xml:space="preserve"> Publico</w:t>
      </w:r>
      <w:r w:rsidR="004357CB">
        <w:rPr>
          <w:rFonts w:ascii="Tahoma" w:hAnsi="Tahoma" w:cs="Tahoma"/>
        </w:rPr>
        <w:tab/>
        <w:t xml:space="preserve">          </w:t>
      </w:r>
      <w:r w:rsidR="004655ED">
        <w:rPr>
          <w:rFonts w:ascii="Tahoma" w:hAnsi="Tahoma" w:cs="Tahoma"/>
        </w:rPr>
        <w:t>$104.965.952</w:t>
      </w:r>
    </w:p>
    <w:p w:rsidR="001666F5" w:rsidRDefault="001666F5" w:rsidP="006B558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Cuentas por Pagar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  <w:r w:rsidR="004357CB">
        <w:rPr>
          <w:rFonts w:ascii="Tahoma" w:hAnsi="Tahoma" w:cs="Tahoma"/>
        </w:rPr>
        <w:t xml:space="preserve"> </w:t>
      </w:r>
      <w:r w:rsidR="004655ED">
        <w:rPr>
          <w:rFonts w:ascii="Tahoma" w:hAnsi="Tahoma" w:cs="Tahoma"/>
        </w:rPr>
        <w:t>164.231.662</w:t>
      </w:r>
    </w:p>
    <w:p w:rsidR="004655ED" w:rsidRPr="00895504" w:rsidRDefault="004655ED" w:rsidP="006B5584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Obligaciones Laborales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13.519.547</w:t>
      </w:r>
    </w:p>
    <w:p w:rsidR="001666F5" w:rsidRPr="00895504" w:rsidRDefault="001666F5" w:rsidP="006B558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  <w:r w:rsidR="004655ED">
        <w:rPr>
          <w:rFonts w:ascii="Tahoma" w:hAnsi="Tahoma" w:cs="Tahoma"/>
        </w:rPr>
        <w:t>--</w:t>
      </w:r>
    </w:p>
    <w:p w:rsidR="001666F5" w:rsidRPr="00895504" w:rsidRDefault="001666F5" w:rsidP="006B558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1D4185">
        <w:rPr>
          <w:rFonts w:ascii="Tahoma" w:hAnsi="Tahoma" w:cs="Tahoma"/>
        </w:rPr>
        <w:t>$</w:t>
      </w:r>
      <w:r w:rsidR="004655ED">
        <w:rPr>
          <w:rFonts w:ascii="Tahoma" w:hAnsi="Tahoma" w:cs="Tahoma"/>
        </w:rPr>
        <w:t>282.717.161</w:t>
      </w:r>
    </w:p>
    <w:p w:rsidR="001666F5" w:rsidRDefault="001666F5" w:rsidP="006B5584">
      <w:pPr>
        <w:spacing w:before="0" w:after="0"/>
      </w:pPr>
    </w:p>
    <w:p w:rsidR="001666F5" w:rsidRDefault="001666F5" w:rsidP="006B5584">
      <w:pPr>
        <w:spacing w:before="0" w:after="0"/>
      </w:pPr>
      <w:r>
        <w:t xml:space="preserve">Razón Corriente  </w:t>
      </w:r>
      <w:r w:rsidR="004655ED" w:rsidRPr="00895504">
        <w:rPr>
          <w:rFonts w:ascii="Tahoma" w:hAnsi="Tahoma" w:cs="Tahoma"/>
        </w:rPr>
        <w:t>$</w:t>
      </w:r>
      <w:r w:rsidR="004655ED">
        <w:rPr>
          <w:rFonts w:ascii="Tahoma" w:hAnsi="Tahoma" w:cs="Tahoma"/>
        </w:rPr>
        <w:t>622.739.819</w:t>
      </w:r>
      <w:r w:rsidRPr="00895504">
        <w:rPr>
          <w:rFonts w:ascii="Tahoma" w:hAnsi="Tahoma" w:cs="Tahoma"/>
        </w:rPr>
        <w:t xml:space="preserve"> / </w:t>
      </w:r>
      <w:r w:rsidR="004655ED">
        <w:rPr>
          <w:rFonts w:ascii="Tahoma" w:hAnsi="Tahoma" w:cs="Tahoma"/>
        </w:rPr>
        <w:t>$282.717.161</w:t>
      </w:r>
      <w:r w:rsidR="009E358A">
        <w:rPr>
          <w:rFonts w:ascii="Tahoma" w:hAnsi="Tahoma" w:cs="Tahoma"/>
        </w:rPr>
        <w:t xml:space="preserve"> </w:t>
      </w:r>
      <w:r w:rsidRPr="00895504">
        <w:rPr>
          <w:rFonts w:ascii="Tahoma" w:hAnsi="Tahoma" w:cs="Tahoma"/>
        </w:rPr>
        <w:t xml:space="preserve">= </w:t>
      </w:r>
      <w:r w:rsidR="00CA2A23">
        <w:rPr>
          <w:rFonts w:ascii="Tahoma" w:hAnsi="Tahoma" w:cs="Tahoma"/>
        </w:rPr>
        <w:t>2.</w:t>
      </w:r>
      <w:r w:rsidR="004655ED">
        <w:rPr>
          <w:rFonts w:ascii="Tahoma" w:hAnsi="Tahoma" w:cs="Tahoma"/>
        </w:rPr>
        <w:t>20</w:t>
      </w:r>
    </w:p>
    <w:p w:rsidR="00A7456E" w:rsidRDefault="00A7456E" w:rsidP="006B5584">
      <w:pPr>
        <w:spacing w:before="0" w:after="0"/>
      </w:pPr>
    </w:p>
    <w:p w:rsidR="00A7456E" w:rsidRDefault="00A7456E" w:rsidP="006B5584">
      <w:pPr>
        <w:spacing w:before="0" w:after="0"/>
        <w:jc w:val="both"/>
      </w:pPr>
      <w:r>
        <w:t xml:space="preserve">El anterior resultado nos muestra que por cada peso que la </w:t>
      </w:r>
      <w:r w:rsidR="004655ED">
        <w:t>Gobernación del Tolima sector central</w:t>
      </w:r>
      <w:r>
        <w:t xml:space="preserve"> debe a corto plazo, cuenta con </w:t>
      </w:r>
      <w:r w:rsidR="00CA2A23">
        <w:t>2.</w:t>
      </w:r>
      <w:r w:rsidR="004655ED">
        <w:t>20</w:t>
      </w:r>
      <w:r>
        <w:t xml:space="preserve"> pesos en activos corriente para cubrirlos, lo que signifi</w:t>
      </w:r>
      <w:r w:rsidR="00895504">
        <w:t xml:space="preserve">ca que el mencionado </w:t>
      </w:r>
      <w:r w:rsidR="004655ED">
        <w:t>departamento</w:t>
      </w:r>
      <w:r w:rsidR="001D4185">
        <w:t xml:space="preserve"> </w:t>
      </w:r>
      <w:r w:rsidR="00895504">
        <w:t>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6B5584">
      <w:pPr>
        <w:spacing w:before="0" w:after="0"/>
        <w:jc w:val="both"/>
      </w:pPr>
    </w:p>
    <w:p w:rsidR="00A7456E" w:rsidRPr="00924723" w:rsidRDefault="00A7456E" w:rsidP="006B558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6B5584">
      <w:pPr>
        <w:spacing w:before="0" w:after="0"/>
        <w:jc w:val="both"/>
      </w:pPr>
    </w:p>
    <w:p w:rsidR="00A7456E" w:rsidRDefault="00A7456E" w:rsidP="006B5584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6B5584">
      <w:pPr>
        <w:spacing w:before="0" w:after="0"/>
        <w:jc w:val="both"/>
      </w:pPr>
    </w:p>
    <w:p w:rsidR="00A7456E" w:rsidRDefault="00A7456E" w:rsidP="006B5584">
      <w:pPr>
        <w:spacing w:before="0" w:after="0"/>
        <w:jc w:val="both"/>
      </w:pPr>
      <w:r>
        <w:t>Formula: Activo Corriente – Pasivo Corriente</w:t>
      </w:r>
    </w:p>
    <w:p w:rsidR="00A7456E" w:rsidRDefault="00A7456E" w:rsidP="006B5584">
      <w:pPr>
        <w:spacing w:before="0" w:after="0"/>
        <w:jc w:val="both"/>
      </w:pPr>
    </w:p>
    <w:p w:rsidR="00CA2A23" w:rsidRDefault="00CA2A23" w:rsidP="006B5584">
      <w:pPr>
        <w:spacing w:before="0" w:after="0"/>
        <w:jc w:val="both"/>
        <w:rPr>
          <w:rFonts w:ascii="Tahoma" w:hAnsi="Tahoma" w:cs="Tahoma"/>
        </w:rPr>
      </w:pPr>
    </w:p>
    <w:p w:rsidR="00A7456E" w:rsidRPr="00260E0D" w:rsidRDefault="004655ED" w:rsidP="006B5584">
      <w:pPr>
        <w:spacing w:before="0" w:after="0"/>
        <w:jc w:val="both"/>
        <w:rPr>
          <w:rFonts w:ascii="Tahoma" w:hAnsi="Tahoma" w:cs="Tahoma"/>
        </w:rPr>
      </w:pPr>
      <w:r w:rsidRPr="00895504">
        <w:rPr>
          <w:rFonts w:ascii="Tahoma" w:hAnsi="Tahoma" w:cs="Tahoma"/>
        </w:rPr>
        <w:t>$</w:t>
      </w:r>
      <w:r>
        <w:rPr>
          <w:rFonts w:ascii="Tahoma" w:hAnsi="Tahoma" w:cs="Tahoma"/>
        </w:rPr>
        <w:t>622.739.819</w:t>
      </w:r>
      <w:r w:rsidRPr="0089550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</w:t>
      </w:r>
      <w:r w:rsidRPr="0089550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$282.717.161</w:t>
      </w:r>
      <w:r w:rsidR="00A44BFD">
        <w:rPr>
          <w:rFonts w:ascii="Tahoma" w:hAnsi="Tahoma" w:cs="Tahoma"/>
        </w:rPr>
        <w:t xml:space="preserve"> </w:t>
      </w:r>
      <w:r w:rsidR="00396181" w:rsidRPr="00260E0D">
        <w:rPr>
          <w:rFonts w:ascii="Tahoma" w:hAnsi="Tahoma" w:cs="Tahoma"/>
        </w:rPr>
        <w:t xml:space="preserve"> </w:t>
      </w:r>
      <w:r w:rsidR="00A7456E" w:rsidRPr="00260E0D">
        <w:rPr>
          <w:rFonts w:ascii="Tahoma" w:hAnsi="Tahoma" w:cs="Tahoma"/>
        </w:rPr>
        <w:t xml:space="preserve">= </w:t>
      </w:r>
      <w:r w:rsidR="00CA2A23">
        <w:rPr>
          <w:rFonts w:ascii="Tahoma" w:hAnsi="Tahoma" w:cs="Tahoma"/>
        </w:rPr>
        <w:t>$</w:t>
      </w:r>
      <w:r>
        <w:rPr>
          <w:rFonts w:ascii="Tahoma" w:hAnsi="Tahoma" w:cs="Tahoma"/>
        </w:rPr>
        <w:t>340.022.658</w:t>
      </w:r>
    </w:p>
    <w:p w:rsidR="00A7456E" w:rsidRDefault="00A7456E" w:rsidP="006B5584">
      <w:pPr>
        <w:spacing w:before="0" w:after="0"/>
        <w:jc w:val="both"/>
      </w:pPr>
    </w:p>
    <w:p w:rsidR="00A7456E" w:rsidRDefault="00A7456E" w:rsidP="006B5584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1D4185">
        <w:t>posee</w:t>
      </w:r>
      <w:r>
        <w:t xml:space="preserve"> recursos</w:t>
      </w:r>
      <w:r w:rsidR="004655ED">
        <w:t xml:space="preserve"> suficientes</w:t>
      </w:r>
      <w:r>
        <w:t xml:space="preserve"> propios para operar.</w:t>
      </w:r>
    </w:p>
    <w:p w:rsidR="003E25A9" w:rsidRDefault="003E25A9" w:rsidP="006B5584">
      <w:pPr>
        <w:spacing w:before="0" w:after="0"/>
        <w:jc w:val="both"/>
      </w:pPr>
    </w:p>
    <w:p w:rsidR="003E25A9" w:rsidRPr="00924723" w:rsidRDefault="003E25A9" w:rsidP="006B558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NIVEL DE ENDEUDAMIENTO</w:t>
      </w:r>
    </w:p>
    <w:p w:rsidR="003E25A9" w:rsidRDefault="003E25A9" w:rsidP="006B5584">
      <w:pPr>
        <w:spacing w:before="0" w:after="0"/>
        <w:jc w:val="both"/>
      </w:pPr>
    </w:p>
    <w:p w:rsidR="003E25A9" w:rsidRDefault="003E25A9" w:rsidP="006B5584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6B5584">
      <w:pPr>
        <w:spacing w:before="0" w:after="0"/>
        <w:jc w:val="both"/>
      </w:pPr>
    </w:p>
    <w:p w:rsidR="003E25A9" w:rsidRDefault="003E25A9" w:rsidP="006B5584">
      <w:pPr>
        <w:spacing w:before="0" w:after="0"/>
        <w:jc w:val="both"/>
      </w:pPr>
      <w:r>
        <w:t>Formula: Pasivo Total con Terceros / Activo Total</w:t>
      </w:r>
    </w:p>
    <w:p w:rsidR="003E25A9" w:rsidRDefault="003E25A9" w:rsidP="006B5584">
      <w:pPr>
        <w:spacing w:before="0" w:after="0"/>
        <w:jc w:val="both"/>
      </w:pPr>
    </w:p>
    <w:p w:rsidR="003E25A9" w:rsidRPr="00260E0D" w:rsidRDefault="00260E0D" w:rsidP="006B558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4655ED">
        <w:rPr>
          <w:rFonts w:ascii="Tahoma" w:hAnsi="Tahoma" w:cs="Tahoma"/>
        </w:rPr>
        <w:t>285.454.757</w:t>
      </w:r>
      <w:r w:rsidR="00924723">
        <w:rPr>
          <w:rFonts w:ascii="Tahoma" w:hAnsi="Tahoma" w:cs="Tahoma"/>
        </w:rPr>
        <w:t xml:space="preserve">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</w:t>
      </w:r>
      <w:r w:rsidR="004655ED">
        <w:rPr>
          <w:rFonts w:ascii="Tahoma" w:hAnsi="Tahoma" w:cs="Tahoma"/>
        </w:rPr>
        <w:t>1.787.220.612</w:t>
      </w:r>
      <w:r w:rsidRPr="00260E0D">
        <w:rPr>
          <w:rFonts w:ascii="Tahoma" w:hAnsi="Tahoma" w:cs="Tahoma"/>
        </w:rPr>
        <w:t xml:space="preserve"> =</w:t>
      </w:r>
      <w:r w:rsidR="00CA2A23">
        <w:rPr>
          <w:rFonts w:ascii="Tahoma" w:hAnsi="Tahoma" w:cs="Tahoma"/>
        </w:rPr>
        <w:t xml:space="preserve"> </w:t>
      </w:r>
      <w:r w:rsidR="00B04385">
        <w:rPr>
          <w:rFonts w:ascii="Tahoma" w:hAnsi="Tahoma" w:cs="Tahoma"/>
        </w:rPr>
        <w:t>15.97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6B5584">
      <w:pPr>
        <w:spacing w:before="0" w:after="0"/>
        <w:jc w:val="both"/>
      </w:pPr>
    </w:p>
    <w:p w:rsidR="003E25A9" w:rsidRDefault="003E25A9" w:rsidP="006B5584">
      <w:pPr>
        <w:spacing w:before="0" w:after="0"/>
        <w:jc w:val="both"/>
      </w:pPr>
      <w:r>
        <w:t xml:space="preserve">El anterior resultado nos indica que del total de activos que posee el </w:t>
      </w:r>
      <w:r w:rsidR="00B04385">
        <w:t>Departamento</w:t>
      </w:r>
      <w:r>
        <w:t xml:space="preserve">, el </w:t>
      </w:r>
      <w:r w:rsidR="00E043C1">
        <w:t>15.97</w:t>
      </w:r>
      <w:r>
        <w:t>% está siendo financiado por los acreedores.</w:t>
      </w:r>
    </w:p>
    <w:p w:rsidR="003E25A9" w:rsidRDefault="003E25A9" w:rsidP="006B5584">
      <w:pPr>
        <w:spacing w:before="0" w:after="0"/>
        <w:jc w:val="both"/>
      </w:pPr>
    </w:p>
    <w:p w:rsidR="001D4185" w:rsidRDefault="001D4185" w:rsidP="006B5584">
      <w:pPr>
        <w:spacing w:before="0" w:after="0"/>
        <w:jc w:val="both"/>
      </w:pPr>
    </w:p>
    <w:p w:rsidR="001D4185" w:rsidRDefault="001D4185" w:rsidP="006B5584">
      <w:pPr>
        <w:spacing w:before="0" w:after="0"/>
        <w:jc w:val="both"/>
      </w:pPr>
    </w:p>
    <w:p w:rsidR="001D4185" w:rsidRDefault="001D4185" w:rsidP="006B5584">
      <w:pPr>
        <w:spacing w:before="0" w:after="0"/>
        <w:jc w:val="both"/>
        <w:rPr>
          <w:rFonts w:ascii="Tahoma" w:hAnsi="Tahoma" w:cs="Tahoma"/>
          <w:b/>
        </w:rPr>
      </w:pPr>
    </w:p>
    <w:p w:rsidR="003E25A9" w:rsidRPr="00924723" w:rsidRDefault="003E25A9" w:rsidP="006B558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6B5584">
      <w:pPr>
        <w:spacing w:before="0" w:after="0"/>
        <w:jc w:val="both"/>
      </w:pPr>
    </w:p>
    <w:p w:rsidR="003E25A9" w:rsidRDefault="003E25A9" w:rsidP="006B5584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6B5584">
      <w:pPr>
        <w:spacing w:before="0" w:after="0"/>
        <w:jc w:val="both"/>
      </w:pPr>
    </w:p>
    <w:p w:rsidR="003E25A9" w:rsidRDefault="003E25A9" w:rsidP="006B5584">
      <w:pPr>
        <w:spacing w:before="0" w:after="0"/>
        <w:jc w:val="both"/>
      </w:pPr>
      <w:r>
        <w:t>Formula: Patrimonio Total / Activo Total</w:t>
      </w:r>
    </w:p>
    <w:p w:rsidR="003E25A9" w:rsidRDefault="003E25A9" w:rsidP="006B5584">
      <w:pPr>
        <w:spacing w:before="0" w:after="0"/>
        <w:jc w:val="both"/>
      </w:pPr>
    </w:p>
    <w:p w:rsidR="003E25A9" w:rsidRPr="00260E0D" w:rsidRDefault="00764ABD" w:rsidP="006B558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000C72">
        <w:rPr>
          <w:rFonts w:ascii="Tahoma" w:hAnsi="Tahoma" w:cs="Tahoma"/>
        </w:rPr>
        <w:t>896.167.020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</w:t>
      </w:r>
      <w:r w:rsidR="00000C72">
        <w:rPr>
          <w:rFonts w:ascii="Tahoma" w:hAnsi="Tahoma" w:cs="Tahoma"/>
        </w:rPr>
        <w:t>1.787.220.612</w:t>
      </w:r>
      <w:r w:rsidR="001D4185">
        <w:rPr>
          <w:rFonts w:ascii="Tahoma" w:hAnsi="Tahoma" w:cs="Tahoma"/>
        </w:rPr>
        <w:t xml:space="preserve"> </w:t>
      </w:r>
      <w:r w:rsidRPr="00260E0D">
        <w:rPr>
          <w:rFonts w:ascii="Tahoma" w:hAnsi="Tahoma" w:cs="Tahoma"/>
        </w:rPr>
        <w:t xml:space="preserve">= </w:t>
      </w:r>
      <w:r w:rsidR="00000C72">
        <w:rPr>
          <w:rFonts w:ascii="Tahoma" w:hAnsi="Tahoma" w:cs="Tahoma"/>
        </w:rPr>
        <w:t>50.14</w:t>
      </w:r>
      <w:r w:rsidRPr="00260E0D">
        <w:rPr>
          <w:rFonts w:ascii="Tahoma" w:hAnsi="Tahoma" w:cs="Tahoma"/>
        </w:rPr>
        <w:t>%</w:t>
      </w:r>
    </w:p>
    <w:p w:rsidR="008326D2" w:rsidRDefault="008326D2" w:rsidP="006B5584">
      <w:pPr>
        <w:spacing w:before="0" w:after="0"/>
        <w:jc w:val="both"/>
      </w:pPr>
    </w:p>
    <w:p w:rsidR="008326D2" w:rsidRDefault="008326D2" w:rsidP="006B5584">
      <w:pPr>
        <w:spacing w:before="0" w:after="0"/>
        <w:jc w:val="both"/>
      </w:pPr>
      <w:r>
        <w:t xml:space="preserve">El porcentaje establecido anteriormente nos indica que el </w:t>
      </w:r>
      <w:r w:rsidR="00000C72">
        <w:rPr>
          <w:rFonts w:ascii="Tahoma" w:hAnsi="Tahoma" w:cs="Tahoma"/>
        </w:rPr>
        <w:t>50.14</w:t>
      </w:r>
      <w:r>
        <w:t>% de los activos, están siendo financiados con capital propio.</w:t>
      </w:r>
    </w:p>
    <w:p w:rsidR="00260E0D" w:rsidRDefault="00260E0D" w:rsidP="006B5584">
      <w:pPr>
        <w:spacing w:before="0" w:after="0"/>
        <w:jc w:val="both"/>
      </w:pPr>
    </w:p>
    <w:p w:rsidR="00260E0D" w:rsidRDefault="00260E0D" w:rsidP="006B5584">
      <w:pPr>
        <w:spacing w:before="0" w:after="0"/>
        <w:jc w:val="both"/>
      </w:pPr>
    </w:p>
    <w:p w:rsidR="006756E8" w:rsidRPr="00AC6F1B" w:rsidRDefault="006756E8" w:rsidP="006B5584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6B5584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000C72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Gobernación del Tolima sector central</w:t>
      </w:r>
      <w:r w:rsidR="006756E8" w:rsidRPr="00AC6F1B">
        <w:rPr>
          <w:rFonts w:ascii="Tahoma" w:hAnsi="Tahoma" w:cs="Tahoma"/>
        </w:rPr>
        <w:t xml:space="preserve"> de acuerdo con su Balance General terminado en la fecha, </w:t>
      </w:r>
      <w:r w:rsidR="00AC6F1B">
        <w:rPr>
          <w:rFonts w:ascii="Tahoma" w:hAnsi="Tahoma" w:cs="Tahoma"/>
        </w:rPr>
        <w:t>muestra</w:t>
      </w:r>
      <w:r w:rsidR="006756E8" w:rsidRPr="00AC6F1B">
        <w:rPr>
          <w:rFonts w:ascii="Tahoma" w:hAnsi="Tahoma" w:cs="Tahoma"/>
        </w:rPr>
        <w:t xml:space="preserve"> que sus activos totales </w:t>
      </w:r>
      <w:r>
        <w:rPr>
          <w:rFonts w:ascii="Tahoma" w:hAnsi="Tahoma" w:cs="Tahoma"/>
        </w:rPr>
        <w:t>crecieron el 5.73</w:t>
      </w:r>
      <w:r w:rsidR="00CA2A23">
        <w:rPr>
          <w:rFonts w:ascii="Tahoma" w:hAnsi="Tahoma" w:cs="Tahoma"/>
        </w:rPr>
        <w:t>%</w:t>
      </w:r>
      <w:r w:rsidR="00567AEB">
        <w:rPr>
          <w:rFonts w:ascii="Tahoma" w:hAnsi="Tahoma" w:cs="Tahoma"/>
        </w:rPr>
        <w:t>, es decir</w:t>
      </w:r>
      <w:r w:rsidR="006756E8" w:rsidRPr="00AC6F1B">
        <w:rPr>
          <w:rFonts w:ascii="Tahoma" w:hAnsi="Tahoma" w:cs="Tahoma"/>
        </w:rPr>
        <w:t xml:space="preserve"> la suma de $</w:t>
      </w:r>
      <w:r>
        <w:rPr>
          <w:rFonts w:ascii="Tahoma" w:hAnsi="Tahoma" w:cs="Tahoma"/>
        </w:rPr>
        <w:t>96.784.004</w:t>
      </w:r>
      <w:r w:rsidR="005C51B2">
        <w:rPr>
          <w:rFonts w:ascii="Tahoma" w:hAnsi="Tahoma" w:cs="Tahoma"/>
        </w:rPr>
        <w:t xml:space="preserve"> </w:t>
      </w:r>
      <w:r w:rsidR="006756E8" w:rsidRPr="00AC6F1B">
        <w:rPr>
          <w:rFonts w:ascii="Tahoma" w:hAnsi="Tahoma" w:cs="Tahoma"/>
        </w:rPr>
        <w:t xml:space="preserve"> (mies de $), con relación al periodo 201</w:t>
      </w:r>
      <w:r w:rsidR="00924723">
        <w:rPr>
          <w:rFonts w:ascii="Tahoma" w:hAnsi="Tahoma" w:cs="Tahoma"/>
        </w:rPr>
        <w:t>4</w:t>
      </w:r>
      <w:r w:rsidR="00567AEB">
        <w:rPr>
          <w:rFonts w:ascii="Tahoma" w:hAnsi="Tahoma" w:cs="Tahoma"/>
        </w:rPr>
        <w:t>.</w:t>
      </w:r>
    </w:p>
    <w:p w:rsidR="006756E8" w:rsidRPr="00AC6F1B" w:rsidRDefault="006756E8" w:rsidP="006B5584">
      <w:pPr>
        <w:spacing w:before="0" w:after="0"/>
        <w:jc w:val="both"/>
        <w:rPr>
          <w:rFonts w:ascii="Tahoma" w:hAnsi="Tahoma" w:cs="Tahoma"/>
        </w:rPr>
      </w:pPr>
    </w:p>
    <w:p w:rsidR="005C51B2" w:rsidRDefault="005C51B2" w:rsidP="006B558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 Patrimonio </w:t>
      </w:r>
      <w:r w:rsidR="00000C72">
        <w:rPr>
          <w:rFonts w:ascii="Tahoma" w:hAnsi="Tahoma" w:cs="Tahoma"/>
        </w:rPr>
        <w:t xml:space="preserve">se incrementó en el </w:t>
      </w:r>
      <w:r>
        <w:rPr>
          <w:rFonts w:ascii="Tahoma" w:hAnsi="Tahoma" w:cs="Tahoma"/>
        </w:rPr>
        <w:t>1.</w:t>
      </w:r>
      <w:r w:rsidR="00000C72">
        <w:rPr>
          <w:rFonts w:ascii="Tahoma" w:hAnsi="Tahoma" w:cs="Tahoma"/>
        </w:rPr>
        <w:t>78</w:t>
      </w:r>
      <w:r>
        <w:rPr>
          <w:rFonts w:ascii="Tahoma" w:hAnsi="Tahoma" w:cs="Tahoma"/>
        </w:rPr>
        <w:t>%, es decir la suma de $</w:t>
      </w:r>
      <w:r w:rsidR="00000C72">
        <w:rPr>
          <w:rFonts w:ascii="Tahoma" w:hAnsi="Tahoma" w:cs="Tahoma"/>
        </w:rPr>
        <w:t>15.666.968</w:t>
      </w:r>
      <w:r>
        <w:rPr>
          <w:rFonts w:ascii="Tahoma" w:hAnsi="Tahoma" w:cs="Tahoma"/>
        </w:rPr>
        <w:t xml:space="preserve"> miles de pesos.</w:t>
      </w:r>
    </w:p>
    <w:p w:rsidR="005C51B2" w:rsidRDefault="005C51B2" w:rsidP="006B558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6B558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Su estructura financiera al cierre del periodo contable 2014, estaba representada en el </w:t>
      </w:r>
      <w:r w:rsidR="00000C72">
        <w:rPr>
          <w:rFonts w:ascii="Tahoma" w:hAnsi="Tahoma" w:cs="Tahoma"/>
        </w:rPr>
        <w:t>49.86</w:t>
      </w:r>
      <w:r w:rsidRPr="00AC6F1B">
        <w:rPr>
          <w:rFonts w:ascii="Tahoma" w:hAnsi="Tahoma" w:cs="Tahoma"/>
        </w:rPr>
        <w:t xml:space="preserve">% los pasivos y el </w:t>
      </w:r>
      <w:r w:rsidR="00000C72">
        <w:rPr>
          <w:rFonts w:ascii="Tahoma" w:hAnsi="Tahoma" w:cs="Tahoma"/>
        </w:rPr>
        <w:t>50.14</w:t>
      </w:r>
      <w:r w:rsidRPr="00AC6F1B">
        <w:rPr>
          <w:rFonts w:ascii="Tahoma" w:hAnsi="Tahoma" w:cs="Tahoma"/>
        </w:rPr>
        <w:t>% el patrimonio.</w:t>
      </w:r>
    </w:p>
    <w:p w:rsidR="000D2062" w:rsidRPr="00AC6F1B" w:rsidRDefault="000D2062" w:rsidP="006B558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6B558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presenta un nivel de endeudamiento </w:t>
      </w:r>
      <w:r w:rsidR="00000C72">
        <w:rPr>
          <w:rFonts w:ascii="Tahoma" w:hAnsi="Tahoma" w:cs="Tahoma"/>
        </w:rPr>
        <w:t>bajo</w:t>
      </w:r>
      <w:r w:rsidRPr="00AC6F1B">
        <w:rPr>
          <w:rFonts w:ascii="Tahoma" w:hAnsi="Tahoma" w:cs="Tahoma"/>
        </w:rPr>
        <w:t xml:space="preserve"> respecto al total de sus activos, alcanzando un margen del </w:t>
      </w:r>
      <w:r w:rsidR="00000C72">
        <w:rPr>
          <w:rFonts w:ascii="Tahoma" w:hAnsi="Tahoma" w:cs="Tahoma"/>
        </w:rPr>
        <w:t>15.97</w:t>
      </w:r>
      <w:r w:rsidRPr="00AC6F1B">
        <w:rPr>
          <w:rFonts w:ascii="Tahoma" w:hAnsi="Tahoma" w:cs="Tahoma"/>
        </w:rPr>
        <w:t>%.</w:t>
      </w:r>
    </w:p>
    <w:p w:rsidR="000D2062" w:rsidRPr="00AC6F1B" w:rsidRDefault="000D2062" w:rsidP="006B558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6B558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De acuerdo con los resultados de sus indicadores </w:t>
      </w:r>
      <w:r w:rsidR="00C83948" w:rsidRPr="00AC6F1B">
        <w:rPr>
          <w:rFonts w:ascii="Tahoma" w:hAnsi="Tahoma" w:cs="Tahoma"/>
        </w:rPr>
        <w:t>podem</w:t>
      </w:r>
      <w:r w:rsidR="00567AEB">
        <w:rPr>
          <w:rFonts w:ascii="Tahoma" w:hAnsi="Tahoma" w:cs="Tahoma"/>
        </w:rPr>
        <w:t>os concluir que l</w:t>
      </w:r>
      <w:r w:rsidR="00000C72">
        <w:rPr>
          <w:rFonts w:ascii="Tahoma" w:hAnsi="Tahoma" w:cs="Tahoma"/>
        </w:rPr>
        <w:t>a Gobernación del Tolima</w:t>
      </w:r>
      <w:r w:rsidR="00C83948" w:rsidRPr="00AC6F1B">
        <w:rPr>
          <w:rFonts w:ascii="Tahoma" w:hAnsi="Tahoma" w:cs="Tahoma"/>
        </w:rPr>
        <w:t xml:space="preserve"> 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567AEB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567AEB">
        <w:rPr>
          <w:rFonts w:ascii="Tahoma" w:hAnsi="Tahoma" w:cs="Tahoma"/>
        </w:rPr>
        <w:t>favorable</w:t>
      </w:r>
      <w:r w:rsidR="00CC0F10">
        <w:rPr>
          <w:rFonts w:ascii="Tahoma" w:hAnsi="Tahoma" w:cs="Tahoma"/>
        </w:rPr>
        <w:t xml:space="preserve">. </w:t>
      </w:r>
    </w:p>
    <w:p w:rsidR="00A7456E" w:rsidRPr="00AC6F1B" w:rsidRDefault="00A7456E" w:rsidP="006B5584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AA2" w:rsidRDefault="005D6AA2" w:rsidP="00650A99">
      <w:r>
        <w:separator/>
      </w:r>
    </w:p>
  </w:endnote>
  <w:endnote w:type="continuationSeparator" w:id="0">
    <w:p w:rsidR="005D6AA2" w:rsidRDefault="005D6AA2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ED" w:rsidRPr="00070555" w:rsidRDefault="004655ED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655ED" w:rsidRPr="003205FF" w:rsidRDefault="004655ED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6E36EE" w:rsidRPr="006E36EE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11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6E36EE" w:rsidRPr="006E36EE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11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4655ED" w:rsidRPr="003205FF" w:rsidRDefault="004655ED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6E36EE" w:rsidRPr="006E36EE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11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6E36EE" w:rsidRPr="006E36EE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11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655ED" w:rsidRDefault="004655E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4655ED" w:rsidRDefault="004655ED"/>
                </w:txbxContent>
              </v:textbox>
            </v:shape>
          </w:pict>
        </mc:Fallback>
      </mc:AlternateContent>
    </w:r>
  </w:p>
  <w:p w:rsidR="004655ED" w:rsidRPr="00070555" w:rsidRDefault="004655ED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655ED" w:rsidRDefault="004655ED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4655ED" w:rsidRDefault="004655ED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4655ED" w:rsidRPr="00BB3D88" w:rsidRDefault="004655ED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4655ED" w:rsidRPr="003205FF" w:rsidRDefault="006E36EE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4655ED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4655ED" w:rsidRPr="000352F0" w:rsidRDefault="004655ED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4655ED" w:rsidRPr="00BB3D88" w:rsidRDefault="004655ED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4655ED" w:rsidRPr="00A926CE" w:rsidRDefault="004655ED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4655ED" w:rsidRDefault="004655ED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4655ED" w:rsidRDefault="004655ED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4655ED" w:rsidRPr="00BB3D88" w:rsidRDefault="004655ED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4655ED" w:rsidRPr="003205FF" w:rsidRDefault="006E36EE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4655ED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4655ED" w:rsidRPr="000352F0" w:rsidRDefault="004655ED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4655ED" w:rsidRPr="00BB3D88" w:rsidRDefault="004655ED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4655ED" w:rsidRPr="00A926CE" w:rsidRDefault="004655ED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AA2" w:rsidRDefault="005D6AA2" w:rsidP="00650A99">
      <w:r>
        <w:separator/>
      </w:r>
    </w:p>
  </w:footnote>
  <w:footnote w:type="continuationSeparator" w:id="0">
    <w:p w:rsidR="005D6AA2" w:rsidRDefault="005D6AA2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ED" w:rsidRDefault="00DB54FC">
    <w:pPr>
      <w:pStyle w:val="Encabezado"/>
    </w:pPr>
    <w:r>
      <w:rPr>
        <w:noProof/>
      </w:rPr>
      <w:drawing>
        <wp:inline distT="0" distB="0" distL="0" distR="0">
          <wp:extent cx="1514475" cy="1038225"/>
          <wp:effectExtent l="0" t="0" r="9525" b="9525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1038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0C72"/>
    <w:rsid w:val="00014DDB"/>
    <w:rsid w:val="00025419"/>
    <w:rsid w:val="0003468E"/>
    <w:rsid w:val="000352F0"/>
    <w:rsid w:val="00043E5E"/>
    <w:rsid w:val="000445C4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8654C"/>
    <w:rsid w:val="000913E2"/>
    <w:rsid w:val="000A4E2D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266B2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C5D61"/>
    <w:rsid w:val="001D30AE"/>
    <w:rsid w:val="001D4185"/>
    <w:rsid w:val="001E0386"/>
    <w:rsid w:val="001E19D5"/>
    <w:rsid w:val="001E2459"/>
    <w:rsid w:val="001E2CA0"/>
    <w:rsid w:val="001E6C74"/>
    <w:rsid w:val="001F1819"/>
    <w:rsid w:val="001F3E0C"/>
    <w:rsid w:val="002049C5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776AC"/>
    <w:rsid w:val="00283A55"/>
    <w:rsid w:val="00293B22"/>
    <w:rsid w:val="00294FB6"/>
    <w:rsid w:val="00297AD1"/>
    <w:rsid w:val="002A5283"/>
    <w:rsid w:val="002C24CB"/>
    <w:rsid w:val="002C31ED"/>
    <w:rsid w:val="002D62AF"/>
    <w:rsid w:val="002E1436"/>
    <w:rsid w:val="002E7240"/>
    <w:rsid w:val="002F54E8"/>
    <w:rsid w:val="00301C13"/>
    <w:rsid w:val="003026A2"/>
    <w:rsid w:val="00303824"/>
    <w:rsid w:val="00306CC6"/>
    <w:rsid w:val="00311CAB"/>
    <w:rsid w:val="003205FF"/>
    <w:rsid w:val="00321EC8"/>
    <w:rsid w:val="003305B2"/>
    <w:rsid w:val="00332DE4"/>
    <w:rsid w:val="00341B3E"/>
    <w:rsid w:val="00351487"/>
    <w:rsid w:val="00356B3F"/>
    <w:rsid w:val="0035735A"/>
    <w:rsid w:val="00367CB1"/>
    <w:rsid w:val="00372F40"/>
    <w:rsid w:val="00375CC7"/>
    <w:rsid w:val="00390769"/>
    <w:rsid w:val="0039183D"/>
    <w:rsid w:val="00391C14"/>
    <w:rsid w:val="00396181"/>
    <w:rsid w:val="00397766"/>
    <w:rsid w:val="003A286D"/>
    <w:rsid w:val="003A5822"/>
    <w:rsid w:val="003B11DD"/>
    <w:rsid w:val="003B56B0"/>
    <w:rsid w:val="003B72A8"/>
    <w:rsid w:val="003C0774"/>
    <w:rsid w:val="003C5E57"/>
    <w:rsid w:val="003E25A9"/>
    <w:rsid w:val="003F5E08"/>
    <w:rsid w:val="004032C1"/>
    <w:rsid w:val="00407637"/>
    <w:rsid w:val="004120E2"/>
    <w:rsid w:val="00430D77"/>
    <w:rsid w:val="004357CB"/>
    <w:rsid w:val="00440EAB"/>
    <w:rsid w:val="00452E65"/>
    <w:rsid w:val="00454B8B"/>
    <w:rsid w:val="004564B6"/>
    <w:rsid w:val="004655ED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35DA"/>
    <w:rsid w:val="0052650A"/>
    <w:rsid w:val="005279E8"/>
    <w:rsid w:val="00551920"/>
    <w:rsid w:val="00552A0E"/>
    <w:rsid w:val="00560B0C"/>
    <w:rsid w:val="00560CA3"/>
    <w:rsid w:val="00562B5C"/>
    <w:rsid w:val="00563F32"/>
    <w:rsid w:val="00567AEB"/>
    <w:rsid w:val="00585BCF"/>
    <w:rsid w:val="00585ED0"/>
    <w:rsid w:val="00590A7E"/>
    <w:rsid w:val="005916D2"/>
    <w:rsid w:val="00595ED2"/>
    <w:rsid w:val="005A74EC"/>
    <w:rsid w:val="005B6F12"/>
    <w:rsid w:val="005C09C0"/>
    <w:rsid w:val="005C3743"/>
    <w:rsid w:val="005C51B2"/>
    <w:rsid w:val="005D6AA2"/>
    <w:rsid w:val="005E1DE9"/>
    <w:rsid w:val="005E5E78"/>
    <w:rsid w:val="005F2A16"/>
    <w:rsid w:val="005F356A"/>
    <w:rsid w:val="00603AAD"/>
    <w:rsid w:val="006068E9"/>
    <w:rsid w:val="006074FF"/>
    <w:rsid w:val="00617A76"/>
    <w:rsid w:val="00617E98"/>
    <w:rsid w:val="00617F6E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44BD"/>
    <w:rsid w:val="006A5FCB"/>
    <w:rsid w:val="006B5584"/>
    <w:rsid w:val="006B652A"/>
    <w:rsid w:val="006B765E"/>
    <w:rsid w:val="006D2B4A"/>
    <w:rsid w:val="006E36EE"/>
    <w:rsid w:val="00700DB0"/>
    <w:rsid w:val="0070120A"/>
    <w:rsid w:val="007062D9"/>
    <w:rsid w:val="00706545"/>
    <w:rsid w:val="00711A4A"/>
    <w:rsid w:val="00712CCD"/>
    <w:rsid w:val="00745063"/>
    <w:rsid w:val="00747180"/>
    <w:rsid w:val="00754337"/>
    <w:rsid w:val="00755346"/>
    <w:rsid w:val="00764ABD"/>
    <w:rsid w:val="007662F7"/>
    <w:rsid w:val="00770276"/>
    <w:rsid w:val="00770ADC"/>
    <w:rsid w:val="00771928"/>
    <w:rsid w:val="00773282"/>
    <w:rsid w:val="00787E63"/>
    <w:rsid w:val="00796DDA"/>
    <w:rsid w:val="007B4882"/>
    <w:rsid w:val="007B70F7"/>
    <w:rsid w:val="007C4270"/>
    <w:rsid w:val="007F7C04"/>
    <w:rsid w:val="00800EEF"/>
    <w:rsid w:val="008036D7"/>
    <w:rsid w:val="0080441A"/>
    <w:rsid w:val="00814D3D"/>
    <w:rsid w:val="00815D0B"/>
    <w:rsid w:val="00820529"/>
    <w:rsid w:val="00821EDD"/>
    <w:rsid w:val="00827082"/>
    <w:rsid w:val="00832014"/>
    <w:rsid w:val="008326D2"/>
    <w:rsid w:val="00872CA8"/>
    <w:rsid w:val="008761A0"/>
    <w:rsid w:val="008819F1"/>
    <w:rsid w:val="00885B7E"/>
    <w:rsid w:val="00895504"/>
    <w:rsid w:val="00897455"/>
    <w:rsid w:val="008A0D33"/>
    <w:rsid w:val="008A142D"/>
    <w:rsid w:val="008A5D7F"/>
    <w:rsid w:val="008D47FB"/>
    <w:rsid w:val="008E2ADB"/>
    <w:rsid w:val="008E40B7"/>
    <w:rsid w:val="008E6775"/>
    <w:rsid w:val="008F54D6"/>
    <w:rsid w:val="008F6815"/>
    <w:rsid w:val="009058D0"/>
    <w:rsid w:val="00907660"/>
    <w:rsid w:val="00914565"/>
    <w:rsid w:val="00921D04"/>
    <w:rsid w:val="00924723"/>
    <w:rsid w:val="0092517E"/>
    <w:rsid w:val="00926B45"/>
    <w:rsid w:val="009339AC"/>
    <w:rsid w:val="00934CE3"/>
    <w:rsid w:val="00942761"/>
    <w:rsid w:val="00942F02"/>
    <w:rsid w:val="00943029"/>
    <w:rsid w:val="00957662"/>
    <w:rsid w:val="009577BB"/>
    <w:rsid w:val="009606B3"/>
    <w:rsid w:val="00966EAD"/>
    <w:rsid w:val="0098323F"/>
    <w:rsid w:val="00990B51"/>
    <w:rsid w:val="00991F22"/>
    <w:rsid w:val="009C0615"/>
    <w:rsid w:val="009D7ECE"/>
    <w:rsid w:val="009E27EC"/>
    <w:rsid w:val="009E358A"/>
    <w:rsid w:val="009F3F48"/>
    <w:rsid w:val="00A04FA7"/>
    <w:rsid w:val="00A05307"/>
    <w:rsid w:val="00A1087C"/>
    <w:rsid w:val="00A32268"/>
    <w:rsid w:val="00A32BD8"/>
    <w:rsid w:val="00A34FD5"/>
    <w:rsid w:val="00A43B37"/>
    <w:rsid w:val="00A44BFD"/>
    <w:rsid w:val="00A44F64"/>
    <w:rsid w:val="00A47CA0"/>
    <w:rsid w:val="00A55479"/>
    <w:rsid w:val="00A57CC2"/>
    <w:rsid w:val="00A57FD7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6DD0"/>
    <w:rsid w:val="00AC6F1B"/>
    <w:rsid w:val="00AD4C67"/>
    <w:rsid w:val="00AD56DB"/>
    <w:rsid w:val="00AE45E6"/>
    <w:rsid w:val="00AF71D3"/>
    <w:rsid w:val="00B04385"/>
    <w:rsid w:val="00B11E2E"/>
    <w:rsid w:val="00B138E8"/>
    <w:rsid w:val="00B179EC"/>
    <w:rsid w:val="00B17D06"/>
    <w:rsid w:val="00B229DE"/>
    <w:rsid w:val="00B235FD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1024D"/>
    <w:rsid w:val="00C20CA8"/>
    <w:rsid w:val="00C276A2"/>
    <w:rsid w:val="00C33285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A2A23"/>
    <w:rsid w:val="00CB47E0"/>
    <w:rsid w:val="00CB631D"/>
    <w:rsid w:val="00CC0170"/>
    <w:rsid w:val="00CC0F10"/>
    <w:rsid w:val="00CC38D6"/>
    <w:rsid w:val="00CC74DC"/>
    <w:rsid w:val="00CC769E"/>
    <w:rsid w:val="00CD5CCB"/>
    <w:rsid w:val="00CE3D10"/>
    <w:rsid w:val="00CE6524"/>
    <w:rsid w:val="00CF0493"/>
    <w:rsid w:val="00CF6745"/>
    <w:rsid w:val="00D415DA"/>
    <w:rsid w:val="00D42439"/>
    <w:rsid w:val="00D718F8"/>
    <w:rsid w:val="00D71C09"/>
    <w:rsid w:val="00D774B6"/>
    <w:rsid w:val="00D8073C"/>
    <w:rsid w:val="00D81436"/>
    <w:rsid w:val="00DA07E0"/>
    <w:rsid w:val="00DA76D0"/>
    <w:rsid w:val="00DB2278"/>
    <w:rsid w:val="00DB54FC"/>
    <w:rsid w:val="00DD0981"/>
    <w:rsid w:val="00DD5CA9"/>
    <w:rsid w:val="00E00EAB"/>
    <w:rsid w:val="00E043C1"/>
    <w:rsid w:val="00E06024"/>
    <w:rsid w:val="00E22BA0"/>
    <w:rsid w:val="00E26F65"/>
    <w:rsid w:val="00E37DA4"/>
    <w:rsid w:val="00E438FA"/>
    <w:rsid w:val="00E44E11"/>
    <w:rsid w:val="00E562E9"/>
    <w:rsid w:val="00E67C4A"/>
    <w:rsid w:val="00E7387D"/>
    <w:rsid w:val="00E745B9"/>
    <w:rsid w:val="00E80CF1"/>
    <w:rsid w:val="00EA5410"/>
    <w:rsid w:val="00EB726A"/>
    <w:rsid w:val="00ED18CB"/>
    <w:rsid w:val="00F067EF"/>
    <w:rsid w:val="00F11CE8"/>
    <w:rsid w:val="00F152E9"/>
    <w:rsid w:val="00F413A2"/>
    <w:rsid w:val="00F56A4B"/>
    <w:rsid w:val="00F57D5F"/>
    <w:rsid w:val="00F64422"/>
    <w:rsid w:val="00F74102"/>
    <w:rsid w:val="00F74A4C"/>
    <w:rsid w:val="00F87AA6"/>
    <w:rsid w:val="00FA4C6D"/>
    <w:rsid w:val="00FB1D70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3F920BB3-27CF-4B00-A41E-05C9E55B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11</Pages>
  <Words>2967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19</cp:revision>
  <cp:lastPrinted>2016-12-25T21:35:00Z</cp:lastPrinted>
  <dcterms:created xsi:type="dcterms:W3CDTF">2016-10-27T14:04:00Z</dcterms:created>
  <dcterms:modified xsi:type="dcterms:W3CDTF">2016-12-25T21:36:00Z</dcterms:modified>
</cp:coreProperties>
</file>