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524E1D" w:rsidP="001D6862">
      <w:pPr>
        <w:spacing w:before="0" w:after="0" w:line="19" w:lineRule="atLeast"/>
        <w:jc w:val="center"/>
        <w:rPr>
          <w:rFonts w:ascii="Tahoma" w:hAnsi="Tahoma" w:cs="Tahoma"/>
          <w:b/>
        </w:rPr>
      </w:pPr>
      <w:bookmarkStart w:id="0" w:name="_GoBack"/>
      <w:bookmarkEnd w:id="0"/>
      <w:r w:rsidRPr="00EA2D8B">
        <w:rPr>
          <w:rFonts w:ascii="Tahoma" w:hAnsi="Tahoma" w:cs="Tahoma"/>
          <w:b/>
        </w:rPr>
        <w:t>INFORME FISCAL Y FINANCIERO</w:t>
      </w:r>
    </w:p>
    <w:p w:rsidR="008369B2"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8369B2">
        <w:rPr>
          <w:rFonts w:ascii="Tahoma" w:hAnsi="Tahoma" w:cs="Tahoma"/>
          <w:b/>
        </w:rPr>
        <w:t>COELLO</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00ED1B75">
        <w:rPr>
          <w:rFonts w:ascii="Tahoma" w:hAnsi="Tahoma" w:cs="Tahoma"/>
          <w:b w:val="0"/>
          <w:sz w:val="22"/>
          <w:szCs w:val="22"/>
        </w:rPr>
        <w:t>.</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A6547B">
        <w:rPr>
          <w:rFonts w:ascii="Tahoma" w:hAnsi="Tahoma" w:cs="Tahoma"/>
          <w:color w:val="auto"/>
        </w:rPr>
        <w:t>Coello</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Pr="00A6547B">
        <w:rPr>
          <w:rFonts w:ascii="Tahoma" w:hAnsi="Tahoma" w:cs="Tahoma"/>
          <w:color w:val="auto"/>
        </w:rPr>
        <w:t>.</w:t>
      </w:r>
      <w:r w:rsidR="00AD0C4B" w:rsidRPr="00A6547B">
        <w:rPr>
          <w:rFonts w:ascii="Tahoma" w:hAnsi="Tahoma" w:cs="Tahoma"/>
          <w:color w:val="auto"/>
        </w:rPr>
        <w:t xml:space="preserve"> </w:t>
      </w:r>
      <w:r w:rsidR="007F40C8" w:rsidRPr="00A6547B">
        <w:rPr>
          <w:rFonts w:ascii="Tahoma" w:hAnsi="Tahoma" w:cs="Tahoma"/>
          <w:b/>
          <w:color w:val="auto"/>
        </w:rPr>
        <w:t>01</w:t>
      </w:r>
      <w:r w:rsidR="002E34BD" w:rsidRPr="00A6547B">
        <w:rPr>
          <w:rFonts w:ascii="Tahoma" w:hAnsi="Tahoma" w:cs="Tahoma"/>
          <w:b/>
          <w:color w:val="auto"/>
        </w:rPr>
        <w:t>7</w:t>
      </w:r>
      <w:r w:rsidR="007F40C8" w:rsidRPr="00A6547B">
        <w:rPr>
          <w:rFonts w:ascii="Tahoma" w:hAnsi="Tahoma" w:cs="Tahoma"/>
          <w:b/>
          <w:color w:val="auto"/>
        </w:rPr>
        <w:t xml:space="preserve"> </w:t>
      </w:r>
      <w:r w:rsidRPr="00A6547B">
        <w:rPr>
          <w:rFonts w:ascii="Tahoma" w:hAnsi="Tahoma" w:cs="Tahoma"/>
          <w:b/>
          <w:color w:val="auto"/>
        </w:rPr>
        <w:t>de</w:t>
      </w:r>
      <w:r w:rsidR="007F40C8" w:rsidRPr="00A6547B">
        <w:rPr>
          <w:rFonts w:ascii="Tahoma" w:hAnsi="Tahoma" w:cs="Tahoma"/>
          <w:b/>
          <w:color w:val="auto"/>
        </w:rPr>
        <w:t xml:space="preserve">l </w:t>
      </w:r>
      <w:r w:rsidR="002E34BD" w:rsidRPr="00A6547B">
        <w:rPr>
          <w:rFonts w:ascii="Tahoma" w:hAnsi="Tahoma" w:cs="Tahoma"/>
          <w:b/>
          <w:color w:val="auto"/>
        </w:rPr>
        <w:t xml:space="preserve">4 </w:t>
      </w:r>
      <w:r w:rsidR="007F40C8" w:rsidRPr="00A6547B">
        <w:rPr>
          <w:rFonts w:ascii="Tahoma" w:hAnsi="Tahoma" w:cs="Tahoma"/>
          <w:b/>
          <w:color w:val="auto"/>
        </w:rPr>
        <w:t>de</w:t>
      </w:r>
      <w:r w:rsidR="006D7C83" w:rsidRPr="00A6547B">
        <w:rPr>
          <w:rFonts w:ascii="Tahoma" w:hAnsi="Tahoma" w:cs="Tahoma"/>
          <w:b/>
          <w:color w:val="auto"/>
        </w:rPr>
        <w:t xml:space="preserve"> </w:t>
      </w:r>
      <w:r w:rsidR="00302682" w:rsidRPr="00A6547B">
        <w:rPr>
          <w:rFonts w:ascii="Tahoma" w:hAnsi="Tahoma" w:cs="Tahoma"/>
          <w:b/>
          <w:color w:val="auto"/>
        </w:rPr>
        <w:t xml:space="preserve">Diciembre </w:t>
      </w:r>
      <w:r w:rsidR="007F40C8" w:rsidRPr="00A6547B">
        <w:rPr>
          <w:rFonts w:ascii="Tahoma" w:hAnsi="Tahoma" w:cs="Tahoma"/>
          <w:b/>
          <w:color w:val="auto"/>
        </w:rPr>
        <w:t>de</w:t>
      </w:r>
      <w:r w:rsidR="006D7C83" w:rsidRPr="00A6547B">
        <w:rPr>
          <w:rFonts w:ascii="Tahoma" w:hAnsi="Tahoma" w:cs="Tahoma"/>
          <w:b/>
          <w:color w:val="auto"/>
        </w:rPr>
        <w:t xml:space="preserve"> 201</w:t>
      </w:r>
      <w:r w:rsidR="00AD0C4B" w:rsidRPr="00A6547B">
        <w:rPr>
          <w:rFonts w:ascii="Tahoma" w:hAnsi="Tahoma" w:cs="Tahoma"/>
          <w:b/>
          <w:color w:val="auto"/>
        </w:rPr>
        <w:t>4</w:t>
      </w:r>
      <w:r w:rsidR="00A6547B" w:rsidRPr="00A6547B">
        <w:rPr>
          <w:rFonts w:ascii="Tahoma" w:hAnsi="Tahoma" w:cs="Tahoma"/>
          <w:b/>
          <w:color w:val="auto"/>
        </w:rPr>
        <w:t xml:space="preserve"> y LIQUIDADO MEDIANTE Decreto 103 de Diciembre 15 de 2014</w:t>
      </w:r>
      <w:r w:rsidR="00EC36EF" w:rsidRPr="00A6547B">
        <w:rPr>
          <w:rFonts w:ascii="Tahoma" w:hAnsi="Tahoma" w:cs="Tahoma"/>
          <w:color w:val="auto"/>
        </w:rPr>
        <w:t xml:space="preserve">, </w:t>
      </w:r>
      <w:r w:rsidR="006A0F41" w:rsidRPr="00A6547B">
        <w:rPr>
          <w:rFonts w:ascii="Tahoma" w:hAnsi="Tahoma" w:cs="Tahoma"/>
          <w:color w:val="auto"/>
        </w:rPr>
        <w:t>en la suma de</w:t>
      </w:r>
      <w:r w:rsidR="006A0F41" w:rsidRPr="00A6547B">
        <w:rPr>
          <w:rFonts w:ascii="Tahoma" w:hAnsi="Tahoma" w:cs="Tahoma"/>
          <w:b/>
          <w:color w:val="auto"/>
        </w:rPr>
        <w:t xml:space="preserve">  </w:t>
      </w:r>
      <w:r w:rsidR="002E34BD" w:rsidRPr="00A6547B">
        <w:rPr>
          <w:rFonts w:ascii="Tahoma" w:hAnsi="Tahoma" w:cs="Tahoma"/>
          <w:b/>
          <w:color w:val="auto"/>
        </w:rPr>
        <w:t xml:space="preserve">DOCE </w:t>
      </w:r>
      <w:r w:rsidR="006A75AC" w:rsidRPr="00A6547B">
        <w:rPr>
          <w:rFonts w:ascii="Tahoma" w:hAnsi="Tahoma" w:cs="Tahoma"/>
          <w:b/>
          <w:color w:val="auto"/>
        </w:rPr>
        <w:t xml:space="preserve">MIL </w:t>
      </w:r>
      <w:r w:rsidR="002E34BD" w:rsidRPr="00A6547B">
        <w:rPr>
          <w:rFonts w:ascii="Tahoma" w:hAnsi="Tahoma" w:cs="Tahoma"/>
          <w:b/>
          <w:color w:val="auto"/>
        </w:rPr>
        <w:t>SEISCIENTOS UN</w:t>
      </w:r>
      <w:r w:rsidR="00581A4A" w:rsidRPr="00A6547B">
        <w:rPr>
          <w:rFonts w:ascii="Tahoma" w:hAnsi="Tahoma" w:cs="Tahoma"/>
          <w:b/>
          <w:color w:val="auto"/>
        </w:rPr>
        <w:t xml:space="preserve"> MILLON </w:t>
      </w:r>
      <w:r w:rsidR="002E34BD" w:rsidRPr="00A6547B">
        <w:rPr>
          <w:rFonts w:ascii="Tahoma" w:hAnsi="Tahoma" w:cs="Tahoma"/>
          <w:b/>
          <w:color w:val="auto"/>
        </w:rPr>
        <w:t xml:space="preserve">DE </w:t>
      </w:r>
      <w:r w:rsidR="0000466A" w:rsidRPr="00A6547B">
        <w:rPr>
          <w:rFonts w:ascii="Tahoma" w:hAnsi="Tahoma" w:cs="Tahoma"/>
          <w:b/>
          <w:color w:val="auto"/>
        </w:rPr>
        <w:t>PESOS</w:t>
      </w:r>
      <w:r w:rsidR="006A0F41" w:rsidRPr="00A6547B">
        <w:rPr>
          <w:rFonts w:ascii="Tahoma" w:hAnsi="Tahoma" w:cs="Tahoma"/>
          <w:b/>
          <w:color w:val="auto"/>
        </w:rPr>
        <w:t xml:space="preserve"> M/CTE </w:t>
      </w:r>
      <w:r w:rsidR="006A0F41" w:rsidRPr="00231ECA">
        <w:rPr>
          <w:rFonts w:ascii="Tahoma" w:hAnsi="Tahoma" w:cs="Tahoma"/>
          <w:b/>
          <w:color w:val="auto"/>
        </w:rPr>
        <w:t>($</w:t>
      </w:r>
      <w:r w:rsidR="002E34BD">
        <w:rPr>
          <w:rFonts w:ascii="Tahoma" w:hAnsi="Tahoma" w:cs="Tahoma"/>
          <w:b/>
          <w:color w:val="auto"/>
        </w:rPr>
        <w:t>12.601.000.000</w:t>
      </w:r>
      <w:r w:rsidR="00581A4A">
        <w:rPr>
          <w:rFonts w:ascii="Tahoma" w:hAnsi="Tahoma" w:cs="Tahoma"/>
          <w:b/>
          <w:color w:val="auto"/>
        </w:rPr>
        <w:t>.</w:t>
      </w:r>
      <w:r w:rsidR="0000466A">
        <w:rPr>
          <w:rFonts w:ascii="Tahoma" w:hAnsi="Tahoma" w:cs="Tahoma"/>
          <w:b/>
          <w:color w:val="auto"/>
        </w:rPr>
        <w:t>o</w:t>
      </w:r>
      <w:r w:rsidR="006A0F41" w:rsidRPr="00231ECA">
        <w:rPr>
          <w:rFonts w:ascii="Tahoma" w:hAnsi="Tahoma" w:cs="Tahoma"/>
          <w:b/>
          <w:color w:val="auto"/>
        </w:rPr>
        <w:t>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Default="008445AE" w:rsidP="00B26183">
      <w:pPr>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1734CC">
        <w:rPr>
          <w:rFonts w:ascii="Tahoma" w:hAnsi="Tahoma" w:cs="Tahoma"/>
        </w:rPr>
        <w:t xml:space="preserve">Coello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174ED6" w:rsidRPr="00174ED6">
        <w:rPr>
          <w:rFonts w:ascii="Tahoma" w:hAnsi="Tahoma" w:cs="Tahoma"/>
          <w:b/>
        </w:rPr>
        <w:t>$</w:t>
      </w:r>
      <w:r w:rsidR="001734CC">
        <w:rPr>
          <w:rFonts w:ascii="Tahoma" w:hAnsi="Tahoma" w:cs="Tahoma"/>
          <w:b/>
        </w:rPr>
        <w:t>12.601.000.000</w:t>
      </w:r>
      <w:r w:rsidR="00174ED6">
        <w:rPr>
          <w:rFonts w:ascii="Tahoma" w:hAnsi="Tahoma" w:cs="Tahoma"/>
          <w:b/>
        </w:rPr>
        <w:t xml:space="preserve">.oo,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174ED6" w:rsidRPr="00231ECA">
        <w:rPr>
          <w:rFonts w:ascii="Tahoma" w:hAnsi="Tahoma" w:cs="Tahoma"/>
          <w:b/>
          <w:color w:val="auto"/>
        </w:rPr>
        <w:lastRenderedPageBreak/>
        <w:t>$</w:t>
      </w:r>
      <w:r w:rsidR="001734CC">
        <w:rPr>
          <w:rFonts w:ascii="Tahoma" w:hAnsi="Tahoma" w:cs="Tahoma"/>
          <w:b/>
          <w:color w:val="auto"/>
        </w:rPr>
        <w:t>5.761.075.</w:t>
      </w:r>
      <w:r w:rsidR="00C6646F">
        <w:rPr>
          <w:rFonts w:ascii="Tahoma" w:hAnsi="Tahoma" w:cs="Tahoma"/>
          <w:b/>
          <w:color w:val="auto"/>
        </w:rPr>
        <w:t>127.</w:t>
      </w:r>
      <w:r w:rsidR="001734CC">
        <w:rPr>
          <w:rFonts w:ascii="Tahoma" w:hAnsi="Tahoma" w:cs="Tahoma"/>
          <w:b/>
          <w:color w:val="auto"/>
        </w:rPr>
        <w:t>oo</w:t>
      </w:r>
      <w:r w:rsidR="00174ED6" w:rsidRPr="00CA669B">
        <w:rPr>
          <w:rFonts w:ascii="Tahoma" w:hAnsi="Tahoma" w:cs="Tahoma"/>
          <w:b/>
          <w:color w:val="auto"/>
        </w:rPr>
        <w:t>,</w:t>
      </w:r>
      <w:r w:rsidR="00174ED6">
        <w:rPr>
          <w:rFonts w:ascii="Tahoma" w:hAnsi="Tahoma" w:cs="Tahoma"/>
          <w:b/>
          <w:color w:val="auto"/>
        </w:rPr>
        <w:t xml:space="preserve"> </w:t>
      </w:r>
      <w:r w:rsidR="00735592">
        <w:rPr>
          <w:rFonts w:ascii="Tahoma" w:eastAsia="Times New Roman" w:hAnsi="Tahoma" w:cs="Tahoma"/>
          <w:bCs/>
          <w:color w:val="auto"/>
        </w:rPr>
        <w:t xml:space="preserve">y </w:t>
      </w:r>
      <w:r w:rsidR="00B26183">
        <w:rPr>
          <w:rFonts w:ascii="Tahoma" w:eastAsia="Times New Roman" w:hAnsi="Tahoma" w:cs="Tahoma"/>
          <w:bCs/>
          <w:color w:val="auto"/>
        </w:rPr>
        <w:t xml:space="preserve">reducciones por </w:t>
      </w:r>
      <w:r w:rsidR="00B26183" w:rsidRPr="00B26183">
        <w:rPr>
          <w:rFonts w:ascii="Tahoma" w:eastAsia="Times New Roman" w:hAnsi="Tahoma" w:cs="Tahoma"/>
          <w:b/>
          <w:bCs/>
          <w:color w:val="auto"/>
        </w:rPr>
        <w:t>$</w:t>
      </w:r>
      <w:r w:rsidR="001734CC">
        <w:rPr>
          <w:rFonts w:ascii="Tahoma" w:eastAsia="Times New Roman" w:hAnsi="Tahoma" w:cs="Tahoma"/>
          <w:b/>
          <w:bCs/>
          <w:color w:val="auto"/>
        </w:rPr>
        <w:t>671.895.905</w:t>
      </w:r>
      <w:r w:rsidR="00DA6502" w:rsidRPr="00B26183">
        <w:rPr>
          <w:rFonts w:ascii="Tahoma" w:eastAsia="Times New Roman" w:hAnsi="Tahoma" w:cs="Tahoma"/>
          <w:b/>
          <w:bCs/>
          <w:color w:val="auto"/>
        </w:rPr>
        <w:t>.oo</w:t>
      </w:r>
      <w:r w:rsidR="00DA6502">
        <w:rPr>
          <w:rFonts w:ascii="Tahoma" w:eastAsia="Times New Roman" w:hAnsi="Tahoma" w:cs="Tahoma"/>
          <w:bCs/>
          <w:color w:val="auto"/>
        </w:rPr>
        <w:t xml:space="preserve">, para un presupuesto definitivo a Diciembre 31 de 2015 de </w:t>
      </w:r>
      <w:r w:rsidR="00DA6502" w:rsidRPr="00B26183">
        <w:rPr>
          <w:rFonts w:ascii="Tahoma" w:eastAsia="Times New Roman" w:hAnsi="Tahoma" w:cs="Tahoma"/>
          <w:b/>
          <w:bCs/>
          <w:color w:val="auto"/>
        </w:rPr>
        <w:t>$</w:t>
      </w:r>
      <w:r w:rsidR="001734CC">
        <w:rPr>
          <w:rFonts w:ascii="Tahoma" w:eastAsia="Times New Roman" w:hAnsi="Tahoma" w:cs="Tahoma"/>
          <w:b/>
          <w:bCs/>
          <w:color w:val="auto"/>
        </w:rPr>
        <w:t>17.690.179.222</w:t>
      </w:r>
      <w:r w:rsidR="008B0625">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376"/>
        <w:gridCol w:w="2127"/>
        <w:gridCol w:w="1984"/>
        <w:gridCol w:w="2570"/>
      </w:tblGrid>
      <w:tr w:rsidR="008B0625" w:rsidRPr="00BA1DE4" w:rsidTr="008D2D24">
        <w:trPr>
          <w:trHeight w:val="327"/>
        </w:trPr>
        <w:tc>
          <w:tcPr>
            <w:tcW w:w="2376"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127"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1984"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570"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8B0625" w:rsidRPr="00BA1DE4" w:rsidTr="008D2D24">
        <w:trPr>
          <w:trHeight w:val="551"/>
        </w:trPr>
        <w:tc>
          <w:tcPr>
            <w:tcW w:w="2376" w:type="dxa"/>
          </w:tcPr>
          <w:p w:rsidR="008B0625" w:rsidRPr="008D2D24" w:rsidRDefault="00C6646F"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8D2D24">
              <w:rPr>
                <w:rFonts w:ascii="Tahoma" w:hAnsi="Tahoma" w:cs="Tahoma"/>
              </w:rPr>
              <w:t>$12.601.000.000.oo,</w:t>
            </w:r>
          </w:p>
        </w:tc>
        <w:tc>
          <w:tcPr>
            <w:tcW w:w="2127" w:type="dxa"/>
          </w:tcPr>
          <w:p w:rsidR="008B0625" w:rsidRPr="008D2D24" w:rsidRDefault="008D2D24"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8D2D24">
              <w:rPr>
                <w:rFonts w:ascii="Tahoma" w:hAnsi="Tahoma" w:cs="Tahoma"/>
                <w:color w:val="auto"/>
              </w:rPr>
              <w:t>$5.761.075.127.oo</w:t>
            </w:r>
          </w:p>
        </w:tc>
        <w:tc>
          <w:tcPr>
            <w:tcW w:w="1984" w:type="dxa"/>
          </w:tcPr>
          <w:p w:rsidR="008B0625" w:rsidRPr="008D2D24" w:rsidRDefault="008D2D24"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8D2D24">
              <w:rPr>
                <w:rFonts w:ascii="Tahoma" w:eastAsia="Times New Roman" w:hAnsi="Tahoma" w:cs="Tahoma"/>
                <w:bCs/>
                <w:color w:val="auto"/>
              </w:rPr>
              <w:t>$671.895.905.oo</w:t>
            </w:r>
          </w:p>
        </w:tc>
        <w:tc>
          <w:tcPr>
            <w:tcW w:w="2570" w:type="dxa"/>
          </w:tcPr>
          <w:p w:rsidR="008B0625" w:rsidRPr="008D2D24" w:rsidRDefault="008D2D24"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8D2D24">
              <w:rPr>
                <w:rFonts w:ascii="Tahoma" w:eastAsia="Times New Roman" w:hAnsi="Tahoma" w:cs="Tahoma"/>
                <w:bCs/>
                <w:color w:val="auto"/>
              </w:rPr>
              <w:t>$17.690.179.222.oo</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233415"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14:anchorId="390EFDCC" wp14:editId="0F2B43CB">
            <wp:extent cx="5410200" cy="3840480"/>
            <wp:effectExtent l="0" t="0" r="19050" b="2667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820A3F" w:rsidRDefault="00685EF4" w:rsidP="00685EF4">
      <w:pPr>
        <w:rPr>
          <w:rFonts w:ascii="Tahoma" w:eastAsia="Times New Roman" w:hAnsi="Tahoma" w:cs="Tahoma"/>
          <w:b/>
          <w:color w:val="auto"/>
        </w:rPr>
      </w:pPr>
      <w:r w:rsidRPr="00685EF4">
        <w:rPr>
          <w:rFonts w:ascii="Tahoma" w:eastAsia="Times New Roman" w:hAnsi="Tahoma" w:cs="Tahoma"/>
          <w:b/>
          <w:color w:val="auto"/>
        </w:rPr>
        <w:t>PRESUPUESTO INICIAL DE INGRESOS</w:t>
      </w:r>
    </w:p>
    <w:p w:rsidR="009A7AA1" w:rsidRDefault="004A24B6" w:rsidP="00F8609F">
      <w:pPr>
        <w:jc w:val="center"/>
        <w:rPr>
          <w:rFonts w:ascii="Tahoma" w:eastAsia="Times New Roman" w:hAnsi="Tahoma" w:cs="Tahoma"/>
          <w:color w:val="auto"/>
        </w:rPr>
      </w:pPr>
      <w:r w:rsidRPr="004A24B6">
        <w:rPr>
          <w:noProof/>
        </w:rPr>
        <w:drawing>
          <wp:inline distT="0" distB="0" distL="0" distR="0" wp14:anchorId="3E1449AC" wp14:editId="2B5B1FC8">
            <wp:extent cx="4975860" cy="44196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976292" cy="4419984"/>
                    </a:xfrm>
                    <a:prstGeom prst="rect">
                      <a:avLst/>
                    </a:prstGeom>
                  </pic:spPr>
                </pic:pic>
              </a:graphicData>
            </a:graphic>
          </wp:inline>
        </w:drawing>
      </w:r>
    </w:p>
    <w:p w:rsidR="00231ECA" w:rsidRDefault="00231ECA" w:rsidP="00685EF4">
      <w:pPr>
        <w:jc w:val="both"/>
        <w:rPr>
          <w:rFonts w:ascii="Tahoma" w:eastAsia="Times New Roman" w:hAnsi="Tahoma" w:cs="Tahoma"/>
          <w:bCs/>
          <w:color w:val="auto"/>
        </w:rPr>
      </w:pPr>
    </w:p>
    <w:p w:rsidR="005F4548" w:rsidRDefault="00685EF4" w:rsidP="00591B11">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00582CF0">
        <w:rPr>
          <w:rFonts w:ascii="Tahoma" w:eastAsia="Times New Roman" w:hAnsi="Tahoma" w:cs="Tahoma"/>
          <w:bCs/>
          <w:color w:val="auto"/>
        </w:rPr>
        <w:t>1</w:t>
      </w:r>
      <w:r w:rsidR="004A24B6">
        <w:rPr>
          <w:rFonts w:ascii="Tahoma" w:eastAsia="Times New Roman" w:hAnsi="Tahoma" w:cs="Tahoma"/>
          <w:bCs/>
          <w:color w:val="auto"/>
        </w:rPr>
        <w:t>8.54</w:t>
      </w:r>
      <w:r w:rsidRPr="009A7AA1">
        <w:rPr>
          <w:rFonts w:ascii="Tahoma" w:eastAsia="Times New Roman" w:hAnsi="Tahoma" w:cs="Tahoma"/>
          <w:bCs/>
          <w:color w:val="auto"/>
        </w:rPr>
        <w:t>%</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4A24B6">
        <w:rPr>
          <w:rFonts w:ascii="Tahoma" w:eastAsia="Times New Roman" w:hAnsi="Tahoma" w:cs="Tahoma"/>
          <w:bCs/>
          <w:color w:val="auto"/>
        </w:rPr>
        <w:t>2.336</w:t>
      </w:r>
      <w:r w:rsidR="00820A3F">
        <w:rPr>
          <w:rFonts w:ascii="Tahoma" w:eastAsia="Times New Roman" w:hAnsi="Tahoma" w:cs="Tahoma"/>
          <w:bCs/>
          <w:color w:val="auto"/>
        </w:rPr>
        <w:t xml:space="preserve">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w:t>
      </w:r>
      <w:r w:rsidR="00820A3F">
        <w:rPr>
          <w:rFonts w:ascii="Tahoma" w:eastAsia="Times New Roman" w:hAnsi="Tahoma" w:cs="Tahoma"/>
          <w:bCs/>
          <w:color w:val="auto"/>
        </w:rPr>
        <w:t xml:space="preserve">el </w:t>
      </w:r>
      <w:r w:rsidR="004A24B6">
        <w:rPr>
          <w:rFonts w:ascii="Tahoma" w:eastAsia="Times New Roman" w:hAnsi="Tahoma" w:cs="Tahoma"/>
          <w:bCs/>
          <w:color w:val="auto"/>
        </w:rPr>
        <w:t>29.59%</w:t>
      </w:r>
      <w:r w:rsidR="00820A3F">
        <w:rPr>
          <w:rFonts w:ascii="Tahoma" w:eastAsia="Times New Roman" w:hAnsi="Tahoma" w:cs="Tahoma"/>
          <w:bCs/>
          <w:color w:val="auto"/>
        </w:rPr>
        <w:t xml:space="preserve"> equivalente</w:t>
      </w:r>
      <w:r>
        <w:rPr>
          <w:rFonts w:ascii="Tahoma" w:eastAsia="Times New Roman" w:hAnsi="Tahoma" w:cs="Tahoma"/>
          <w:bCs/>
          <w:color w:val="auto"/>
        </w:rPr>
        <w:t xml:space="preserve"> a </w:t>
      </w:r>
      <w:r w:rsidRPr="009A7AA1">
        <w:rPr>
          <w:rFonts w:ascii="Tahoma" w:eastAsia="Times New Roman" w:hAnsi="Tahoma" w:cs="Tahoma"/>
          <w:bCs/>
          <w:color w:val="auto"/>
        </w:rPr>
        <w:t>$</w:t>
      </w:r>
      <w:r w:rsidR="004A24B6">
        <w:rPr>
          <w:rFonts w:ascii="Tahoma" w:eastAsia="Times New Roman" w:hAnsi="Tahoma" w:cs="Tahoma"/>
          <w:bCs/>
          <w:color w:val="auto"/>
        </w:rPr>
        <w:t>3.729</w:t>
      </w:r>
      <w:r w:rsidR="005F4548">
        <w:rPr>
          <w:rFonts w:ascii="Tahoma" w:eastAsia="Times New Roman" w:hAnsi="Tahoma" w:cs="Tahoma"/>
          <w:color w:val="auto"/>
        </w:rPr>
        <w:t xml:space="preserve"> mill</w:t>
      </w:r>
      <w:r w:rsidR="00392FBA">
        <w:rPr>
          <w:rFonts w:ascii="Tahoma" w:eastAsia="Times New Roman" w:hAnsi="Tahoma" w:cs="Tahoma"/>
          <w:color w:val="auto"/>
        </w:rPr>
        <w:t>ones</w:t>
      </w:r>
      <w:r w:rsidR="00426414">
        <w:rPr>
          <w:rFonts w:ascii="Tahoma" w:eastAsia="Times New Roman" w:hAnsi="Tahoma" w:cs="Tahoma"/>
          <w:color w:val="auto"/>
        </w:rPr>
        <w:t>, Ingresos Fondo Local de Salud $3.836 millones con el 30.44% e</w:t>
      </w:r>
      <w:r w:rsidR="00392FBA">
        <w:rPr>
          <w:rFonts w:ascii="Tahoma" w:eastAsia="Times New Roman" w:hAnsi="Tahoma" w:cs="Tahoma"/>
          <w:bCs/>
          <w:color w:val="auto"/>
        </w:rPr>
        <w:t xml:space="preserve"> </w:t>
      </w:r>
      <w:r w:rsidR="004A24B6">
        <w:rPr>
          <w:rFonts w:ascii="Tahoma" w:eastAsia="Times New Roman" w:hAnsi="Tahoma" w:cs="Tahoma"/>
          <w:bCs/>
          <w:color w:val="auto"/>
        </w:rPr>
        <w:t>Ingresos</w:t>
      </w:r>
      <w:r w:rsidR="00582CF0">
        <w:rPr>
          <w:rFonts w:ascii="Tahoma" w:eastAsia="Times New Roman" w:hAnsi="Tahoma" w:cs="Tahoma"/>
          <w:bCs/>
          <w:color w:val="auto"/>
        </w:rPr>
        <w:t xml:space="preserve"> de Capital</w:t>
      </w:r>
      <w:r w:rsidRPr="009A7AA1">
        <w:rPr>
          <w:rFonts w:ascii="Tahoma" w:eastAsia="Times New Roman" w:hAnsi="Tahoma" w:cs="Tahoma"/>
          <w:bCs/>
          <w:color w:val="auto"/>
        </w:rPr>
        <w:t xml:space="preserve"> </w:t>
      </w:r>
      <w:r w:rsidR="00820A3F">
        <w:rPr>
          <w:rFonts w:ascii="Tahoma" w:eastAsia="Times New Roman" w:hAnsi="Tahoma" w:cs="Tahoma"/>
          <w:bCs/>
          <w:color w:val="auto"/>
        </w:rPr>
        <w:t xml:space="preserve">con un </w:t>
      </w:r>
      <w:r w:rsidR="004A24B6">
        <w:rPr>
          <w:rFonts w:ascii="Tahoma" w:eastAsia="Times New Roman" w:hAnsi="Tahoma" w:cs="Tahoma"/>
          <w:bCs/>
          <w:color w:val="auto"/>
        </w:rPr>
        <w:t>21.43</w:t>
      </w:r>
      <w:r>
        <w:rPr>
          <w:rFonts w:ascii="Tahoma" w:eastAsia="Times New Roman" w:hAnsi="Tahoma" w:cs="Tahoma"/>
          <w:bCs/>
          <w:color w:val="auto"/>
        </w:rPr>
        <w:t>%, equivalentes</w:t>
      </w:r>
      <w:r w:rsidR="00582CF0">
        <w:rPr>
          <w:rFonts w:ascii="Tahoma" w:eastAsia="Times New Roman" w:hAnsi="Tahoma" w:cs="Tahoma"/>
          <w:bCs/>
          <w:color w:val="auto"/>
        </w:rPr>
        <w:t xml:space="preserve"> a</w:t>
      </w:r>
      <w:r>
        <w:rPr>
          <w:rFonts w:ascii="Tahoma" w:eastAsia="Times New Roman" w:hAnsi="Tahoma" w:cs="Tahoma"/>
          <w:bCs/>
          <w:color w:val="auto"/>
        </w:rPr>
        <w:t xml:space="preserve"> </w:t>
      </w:r>
      <w:r w:rsidRPr="009A7AA1">
        <w:rPr>
          <w:rFonts w:ascii="Tahoma" w:eastAsia="Times New Roman" w:hAnsi="Tahoma" w:cs="Tahoma"/>
          <w:bCs/>
          <w:color w:val="auto"/>
        </w:rPr>
        <w:t>$</w:t>
      </w:r>
      <w:r w:rsidR="004A24B6">
        <w:rPr>
          <w:rFonts w:ascii="Tahoma" w:eastAsia="Times New Roman" w:hAnsi="Tahoma" w:cs="Tahoma"/>
          <w:bCs/>
          <w:color w:val="auto"/>
        </w:rPr>
        <w:t>2.700</w:t>
      </w:r>
      <w:r w:rsidR="006879BE">
        <w:rPr>
          <w:rFonts w:ascii="Tahoma" w:eastAsia="Times New Roman" w:hAnsi="Tahoma" w:cs="Tahoma"/>
          <w:bCs/>
          <w:color w:val="auto"/>
        </w:rPr>
        <w:t xml:space="preserve"> </w:t>
      </w:r>
      <w:r w:rsidR="00511C4D">
        <w:rPr>
          <w:rFonts w:ascii="Tahoma" w:eastAsia="Times New Roman" w:hAnsi="Tahoma" w:cs="Tahoma"/>
          <w:color w:val="auto"/>
        </w:rPr>
        <w:t>millones.</w:t>
      </w:r>
      <w:r>
        <w:rPr>
          <w:rFonts w:ascii="Tahoma" w:eastAsia="Times New Roman" w:hAnsi="Tahoma" w:cs="Tahoma"/>
          <w:color w:val="auto"/>
        </w:rPr>
        <w:t xml:space="preserve"> </w:t>
      </w:r>
    </w:p>
    <w:p w:rsidR="005F4548" w:rsidRPr="005F4548" w:rsidRDefault="005F4548" w:rsidP="005F4548">
      <w:pPr>
        <w:jc w:val="both"/>
        <w:rPr>
          <w:rFonts w:ascii="Tahoma" w:eastAsia="Times New Roman" w:hAnsi="Tahoma" w:cs="Tahoma"/>
          <w:color w:val="auto"/>
        </w:rPr>
      </w:pPr>
      <w:r>
        <w:rPr>
          <w:rFonts w:ascii="Tahoma" w:eastAsia="Times New Roman" w:hAnsi="Tahoma" w:cs="Tahoma"/>
          <w:noProof/>
          <w:color w:val="auto"/>
        </w:rPr>
        <w:lastRenderedPageBreak/>
        <w:drawing>
          <wp:inline distT="0" distB="0" distL="0" distR="0" wp14:anchorId="01045B61" wp14:editId="1F3257C8">
            <wp:extent cx="5486400" cy="3200400"/>
            <wp:effectExtent l="0" t="0" r="19050" b="1905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F4548" w:rsidRDefault="005F4548" w:rsidP="005F4548">
      <w:pPr>
        <w:rPr>
          <w:rFonts w:ascii="Tahoma" w:eastAsia="Times New Roman" w:hAnsi="Tahoma" w:cs="Tahoma"/>
        </w:rPr>
      </w:pPr>
    </w:p>
    <w:p w:rsidR="0014349F" w:rsidRDefault="0014349F" w:rsidP="005F4548">
      <w:pPr>
        <w:tabs>
          <w:tab w:val="left" w:pos="2835"/>
        </w:tabs>
        <w:spacing w:before="0" w:after="0" w:line="19" w:lineRule="atLeast"/>
        <w:jc w:val="both"/>
        <w:rPr>
          <w:rFonts w:ascii="Tahoma" w:eastAsia="Times New Roman" w:hAnsi="Tahoma" w:cs="Tahoma"/>
          <w:b/>
          <w:bCs/>
          <w:color w:val="auto"/>
        </w:rPr>
      </w:pPr>
    </w:p>
    <w:p w:rsidR="005F4548" w:rsidRPr="00521391" w:rsidRDefault="005F4548" w:rsidP="005F4548">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Pr>
          <w:rFonts w:ascii="Tahoma" w:eastAsia="Times New Roman" w:hAnsi="Tahoma" w:cs="Tahoma"/>
          <w:b/>
          <w:bCs/>
          <w:color w:val="auto"/>
        </w:rPr>
        <w:t xml:space="preserve"> DE INGRESOS (ADICIONES)</w:t>
      </w:r>
    </w:p>
    <w:p w:rsidR="005F4548" w:rsidRDefault="005F4548" w:rsidP="005F4548">
      <w:pPr>
        <w:tabs>
          <w:tab w:val="left" w:pos="2835"/>
        </w:tabs>
        <w:spacing w:before="0" w:after="0" w:line="19" w:lineRule="atLeast"/>
        <w:jc w:val="both"/>
        <w:rPr>
          <w:rFonts w:ascii="Tahoma" w:eastAsia="Times New Roman" w:hAnsi="Tahoma" w:cs="Tahoma"/>
          <w:bCs/>
          <w:color w:val="auto"/>
        </w:rPr>
      </w:pPr>
    </w:p>
    <w:p w:rsidR="005F4548" w:rsidRDefault="005F4548" w:rsidP="005F4548">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El presupuesto de ingresos del</w:t>
      </w:r>
      <w:r w:rsidR="00522858">
        <w:rPr>
          <w:rFonts w:ascii="Tahoma" w:eastAsia="Times New Roman" w:hAnsi="Tahoma" w:cs="Tahoma"/>
          <w:bCs/>
          <w:color w:val="auto"/>
        </w:rPr>
        <w:t xml:space="preserve"> Municipio de</w:t>
      </w:r>
      <w:r>
        <w:rPr>
          <w:rFonts w:ascii="Tahoma" w:eastAsia="Times New Roman" w:hAnsi="Tahoma" w:cs="Tahoma"/>
          <w:bCs/>
          <w:color w:val="auto"/>
        </w:rPr>
        <w:t xml:space="preserve"> </w:t>
      </w:r>
      <w:r w:rsidR="00EF06FE">
        <w:rPr>
          <w:rFonts w:ascii="Tahoma" w:eastAsia="Times New Roman" w:hAnsi="Tahoma" w:cs="Tahoma"/>
          <w:bCs/>
          <w:color w:val="auto"/>
        </w:rPr>
        <w:t>Coello</w:t>
      </w:r>
      <w:r w:rsidR="00073B9C">
        <w:rPr>
          <w:rFonts w:ascii="Tahoma" w:eastAsia="Times New Roman" w:hAnsi="Tahoma" w:cs="Tahoma"/>
          <w:bCs/>
          <w:color w:val="auto"/>
        </w:rPr>
        <w:t xml:space="preserve"> </w:t>
      </w:r>
      <w:r w:rsidR="00C16960">
        <w:rPr>
          <w:rFonts w:ascii="Tahoma" w:eastAsia="Times New Roman" w:hAnsi="Tahoma" w:cs="Tahoma"/>
          <w:bCs/>
          <w:color w:val="auto"/>
        </w:rPr>
        <w:t xml:space="preserve">                                                                                                                                                             </w:t>
      </w:r>
      <w:r>
        <w:rPr>
          <w:rFonts w:ascii="Tahoma" w:eastAsia="Times New Roman" w:hAnsi="Tahoma" w:cs="Tahoma"/>
          <w:bCs/>
          <w:color w:val="auto"/>
        </w:rPr>
        <w:t xml:space="preserve">fue adicionado en un </w:t>
      </w:r>
      <w:r w:rsidR="00EF06FE">
        <w:rPr>
          <w:rFonts w:ascii="Tahoma" w:eastAsia="Times New Roman" w:hAnsi="Tahoma" w:cs="Tahoma"/>
          <w:bCs/>
          <w:color w:val="auto"/>
        </w:rPr>
        <w:t>45.72</w:t>
      </w:r>
      <w:r w:rsidR="000B720D">
        <w:rPr>
          <w:rFonts w:ascii="Tahoma" w:eastAsia="Times New Roman" w:hAnsi="Tahoma" w:cs="Tahoma"/>
          <w:bCs/>
          <w:color w:val="auto"/>
        </w:rPr>
        <w:t>%</w:t>
      </w:r>
      <w:r>
        <w:rPr>
          <w:rFonts w:ascii="Tahoma" w:eastAsia="Times New Roman" w:hAnsi="Tahoma" w:cs="Tahoma"/>
          <w:bCs/>
          <w:color w:val="auto"/>
        </w:rPr>
        <w:t xml:space="preserve"> equivalentes a </w:t>
      </w:r>
      <w:r w:rsidRPr="00604368">
        <w:rPr>
          <w:rFonts w:ascii="Tahoma" w:eastAsia="Times New Roman" w:hAnsi="Tahoma" w:cs="Tahoma"/>
          <w:b/>
          <w:bCs/>
          <w:color w:val="auto"/>
        </w:rPr>
        <w:t>$</w:t>
      </w:r>
      <w:r w:rsidR="00EF06FE" w:rsidRPr="00604368">
        <w:rPr>
          <w:rFonts w:ascii="Tahoma" w:eastAsia="Times New Roman" w:hAnsi="Tahoma" w:cs="Tahoma"/>
          <w:b/>
          <w:bCs/>
          <w:color w:val="auto"/>
        </w:rPr>
        <w:t>5.761</w:t>
      </w:r>
      <w:r>
        <w:rPr>
          <w:rFonts w:ascii="Tahoma" w:eastAsia="Times New Roman" w:hAnsi="Tahoma" w:cs="Tahoma"/>
          <w:bCs/>
          <w:color w:val="auto"/>
        </w:rPr>
        <w:t xml:space="preserve"> millones y las principales modificaciones se realizaron en los Ingresos Tributarios en la suma de $</w:t>
      </w:r>
      <w:r w:rsidR="00EF06FE">
        <w:rPr>
          <w:rFonts w:ascii="Tahoma" w:eastAsia="Times New Roman" w:hAnsi="Tahoma" w:cs="Tahoma"/>
          <w:bCs/>
          <w:color w:val="auto"/>
        </w:rPr>
        <w:t>677</w:t>
      </w:r>
      <w:r>
        <w:rPr>
          <w:rFonts w:ascii="Tahoma" w:eastAsia="Times New Roman" w:hAnsi="Tahoma" w:cs="Tahoma"/>
          <w:bCs/>
          <w:color w:val="auto"/>
        </w:rPr>
        <w:t xml:space="preserve"> millones,  Ingresos No tributarios en la suma de $</w:t>
      </w:r>
      <w:r w:rsidR="00FB48CA">
        <w:rPr>
          <w:rFonts w:ascii="Tahoma" w:eastAsia="Times New Roman" w:hAnsi="Tahoma" w:cs="Tahoma"/>
          <w:bCs/>
          <w:color w:val="auto"/>
        </w:rPr>
        <w:t>189</w:t>
      </w:r>
      <w:r>
        <w:rPr>
          <w:rFonts w:ascii="Tahoma" w:eastAsia="Times New Roman" w:hAnsi="Tahoma" w:cs="Tahoma"/>
          <w:bCs/>
          <w:color w:val="auto"/>
        </w:rPr>
        <w:t xml:space="preserve"> millones, </w:t>
      </w:r>
      <w:r w:rsidR="00FB48CA">
        <w:rPr>
          <w:rFonts w:ascii="Tahoma" w:eastAsia="Times New Roman" w:hAnsi="Tahoma" w:cs="Tahoma"/>
          <w:bCs/>
          <w:color w:val="auto"/>
        </w:rPr>
        <w:t xml:space="preserve">Fondo local de Salud  415 millones, </w:t>
      </w:r>
      <w:r>
        <w:rPr>
          <w:rFonts w:ascii="Tahoma" w:eastAsia="Times New Roman" w:hAnsi="Tahoma" w:cs="Tahoma"/>
          <w:bCs/>
          <w:color w:val="auto"/>
        </w:rPr>
        <w:t>Recursos de Capital en la suma de $</w:t>
      </w:r>
      <w:r w:rsidR="00FB48CA">
        <w:rPr>
          <w:rFonts w:ascii="Tahoma" w:eastAsia="Times New Roman" w:hAnsi="Tahoma" w:cs="Tahoma"/>
          <w:bCs/>
          <w:color w:val="auto"/>
        </w:rPr>
        <w:t>1.997</w:t>
      </w:r>
      <w:r>
        <w:rPr>
          <w:rFonts w:ascii="Tahoma" w:eastAsia="Times New Roman" w:hAnsi="Tahoma" w:cs="Tahoma"/>
          <w:bCs/>
          <w:color w:val="auto"/>
        </w:rPr>
        <w:t xml:space="preserve"> millones</w:t>
      </w:r>
      <w:r w:rsidR="00604368">
        <w:rPr>
          <w:rFonts w:ascii="Tahoma" w:eastAsia="Times New Roman" w:hAnsi="Tahoma" w:cs="Tahoma"/>
          <w:bCs/>
          <w:color w:val="auto"/>
        </w:rPr>
        <w:t>, e Ingresos de Capital $2.479 millones</w:t>
      </w:r>
      <w:r>
        <w:rPr>
          <w:rFonts w:ascii="Tahoma" w:eastAsia="Times New Roman" w:hAnsi="Tahoma" w:cs="Tahoma"/>
          <w:bCs/>
          <w:color w:val="auto"/>
        </w:rPr>
        <w:t>. Ver tabla.</w:t>
      </w:r>
    </w:p>
    <w:p w:rsidR="005F4548" w:rsidRDefault="005F4548" w:rsidP="005F4548">
      <w:pPr>
        <w:rPr>
          <w:noProof/>
        </w:rPr>
      </w:pPr>
    </w:p>
    <w:p w:rsidR="00C945E3" w:rsidRDefault="00D82158" w:rsidP="005F4548">
      <w:pPr>
        <w:rPr>
          <w:rFonts w:ascii="Tahoma" w:eastAsia="Times New Roman" w:hAnsi="Tahoma" w:cs="Tahoma"/>
        </w:rPr>
      </w:pPr>
      <w:r w:rsidRPr="00D82158">
        <w:rPr>
          <w:noProof/>
        </w:rPr>
        <w:lastRenderedPageBreak/>
        <w:drawing>
          <wp:inline distT="0" distB="0" distL="0" distR="0" wp14:anchorId="5DFAE09B" wp14:editId="7C8771BF">
            <wp:extent cx="5612130" cy="27603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2760345"/>
                    </a:xfrm>
                    <a:prstGeom prst="rect">
                      <a:avLst/>
                    </a:prstGeom>
                  </pic:spPr>
                </pic:pic>
              </a:graphicData>
            </a:graphic>
          </wp:inline>
        </w:drawing>
      </w:r>
    </w:p>
    <w:p w:rsidR="00B51E12" w:rsidRDefault="00B51E12" w:rsidP="00BF3E26">
      <w:pPr>
        <w:tabs>
          <w:tab w:val="left" w:pos="2835"/>
        </w:tabs>
        <w:spacing w:before="0" w:after="0" w:line="19" w:lineRule="atLeast"/>
        <w:rPr>
          <w:noProof/>
          <w:lang w:val="es-ES" w:eastAsia="es-ES"/>
        </w:rPr>
      </w:pPr>
    </w:p>
    <w:p w:rsidR="00B33ABA" w:rsidRPr="00BF3E26" w:rsidRDefault="00B33ABA" w:rsidP="00256F6A">
      <w:pPr>
        <w:tabs>
          <w:tab w:val="left" w:pos="5667"/>
        </w:tabs>
        <w:spacing w:before="0" w:after="0" w:line="19" w:lineRule="atLeast"/>
        <w:jc w:val="both"/>
        <w:rPr>
          <w:rFonts w:ascii="Tahoma" w:eastAsia="Times New Roman" w:hAnsi="Tahoma" w:cs="Tahoma"/>
          <w:b/>
          <w:bCs/>
          <w:color w:val="auto"/>
        </w:rPr>
      </w:pPr>
      <w:r w:rsidRPr="00BF3E26">
        <w:rPr>
          <w:rFonts w:ascii="Tahoma" w:eastAsia="Times New Roman" w:hAnsi="Tahoma" w:cs="Tahoma"/>
          <w:b/>
          <w:bCs/>
          <w:color w:val="auto"/>
        </w:rPr>
        <w:t>FUENTES DE FINANCIACION PRESUPUESTO</w:t>
      </w:r>
    </w:p>
    <w:p w:rsidR="00B33ABA" w:rsidRPr="00BF3E26" w:rsidRDefault="00B33ABA" w:rsidP="00256F6A">
      <w:pPr>
        <w:tabs>
          <w:tab w:val="left" w:pos="5667"/>
        </w:tabs>
        <w:spacing w:before="0" w:after="0" w:line="19" w:lineRule="atLeast"/>
        <w:jc w:val="both"/>
        <w:rPr>
          <w:rFonts w:ascii="Tahoma" w:eastAsia="Times New Roman" w:hAnsi="Tahoma" w:cs="Tahoma"/>
          <w:b/>
          <w:bCs/>
          <w:color w:val="auto"/>
        </w:rPr>
      </w:pPr>
    </w:p>
    <w:p w:rsidR="00E04672" w:rsidRDefault="004B1676" w:rsidP="00256F6A">
      <w:pPr>
        <w:tabs>
          <w:tab w:val="left" w:pos="5667"/>
        </w:tabs>
        <w:spacing w:before="0" w:after="0" w:line="19" w:lineRule="atLeast"/>
        <w:jc w:val="both"/>
        <w:rPr>
          <w:rFonts w:ascii="Tahoma" w:eastAsia="Times New Roman" w:hAnsi="Tahoma" w:cs="Tahoma"/>
          <w:bCs/>
          <w:color w:val="auto"/>
        </w:rPr>
      </w:pPr>
      <w:r w:rsidRPr="00BF3E26">
        <w:rPr>
          <w:rFonts w:ascii="Tahoma" w:eastAsia="Times New Roman" w:hAnsi="Tahoma" w:cs="Tahoma"/>
          <w:bCs/>
          <w:color w:val="auto"/>
        </w:rPr>
        <w:t xml:space="preserve">Las principales fuentes </w:t>
      </w:r>
      <w:r w:rsidR="00745F39" w:rsidRPr="00BF3E26">
        <w:rPr>
          <w:rFonts w:ascii="Tahoma" w:eastAsia="Times New Roman" w:hAnsi="Tahoma" w:cs="Tahoma"/>
          <w:bCs/>
          <w:color w:val="auto"/>
        </w:rPr>
        <w:t xml:space="preserve">que </w:t>
      </w:r>
      <w:r w:rsidRPr="00BF3E26">
        <w:rPr>
          <w:rFonts w:ascii="Tahoma" w:eastAsia="Times New Roman" w:hAnsi="Tahoma" w:cs="Tahoma"/>
          <w:bCs/>
          <w:color w:val="auto"/>
        </w:rPr>
        <w:t>financia</w:t>
      </w:r>
      <w:r w:rsidR="00745F39" w:rsidRPr="00BF3E26">
        <w:rPr>
          <w:rFonts w:ascii="Tahoma" w:eastAsia="Times New Roman" w:hAnsi="Tahoma" w:cs="Tahoma"/>
          <w:bCs/>
          <w:color w:val="auto"/>
        </w:rPr>
        <w:t xml:space="preserve">ron </w:t>
      </w:r>
      <w:r w:rsidRPr="00BF3E26">
        <w:rPr>
          <w:rFonts w:ascii="Tahoma" w:eastAsia="Times New Roman" w:hAnsi="Tahoma" w:cs="Tahoma"/>
          <w:bCs/>
          <w:color w:val="auto"/>
        </w:rPr>
        <w:t>el presupuesto del Municipio</w:t>
      </w:r>
      <w:r w:rsidR="00D27BCA" w:rsidRPr="00BF3E26">
        <w:rPr>
          <w:rFonts w:ascii="Tahoma" w:eastAsia="Times New Roman" w:hAnsi="Tahoma" w:cs="Tahoma"/>
          <w:bCs/>
          <w:color w:val="auto"/>
        </w:rPr>
        <w:t xml:space="preserve"> de </w:t>
      </w:r>
      <w:r w:rsidR="00BF3E26" w:rsidRPr="00BF3E26">
        <w:rPr>
          <w:rFonts w:ascii="Tahoma" w:eastAsia="Times New Roman" w:hAnsi="Tahoma" w:cs="Tahoma"/>
          <w:bCs/>
          <w:color w:val="auto"/>
        </w:rPr>
        <w:t>Coello</w:t>
      </w:r>
      <w:r w:rsidR="00E62630" w:rsidRPr="00BF3E26">
        <w:rPr>
          <w:rFonts w:ascii="Tahoma" w:hAnsi="Tahoma" w:cs="Tahoma"/>
          <w:color w:val="auto"/>
        </w:rPr>
        <w:t xml:space="preserve"> </w:t>
      </w:r>
      <w:r w:rsidRPr="00BF3E26">
        <w:rPr>
          <w:rFonts w:ascii="Tahoma" w:eastAsia="Times New Roman" w:hAnsi="Tahoma" w:cs="Tahoma"/>
          <w:bCs/>
          <w:color w:val="auto"/>
        </w:rPr>
        <w:t>fueron</w:t>
      </w:r>
      <w:r w:rsidR="00B760AE" w:rsidRPr="00BF3E26">
        <w:rPr>
          <w:rFonts w:ascii="Tahoma" w:eastAsia="Times New Roman" w:hAnsi="Tahoma" w:cs="Tahoma"/>
          <w:bCs/>
          <w:color w:val="auto"/>
        </w:rPr>
        <w:t xml:space="preserve"> </w:t>
      </w:r>
      <w:r w:rsidR="00BF3E26" w:rsidRPr="00BF3E26">
        <w:rPr>
          <w:rFonts w:ascii="Tahoma" w:eastAsia="Times New Roman" w:hAnsi="Tahoma" w:cs="Tahoma"/>
          <w:bCs/>
          <w:color w:val="auto"/>
        </w:rPr>
        <w:t>los</w:t>
      </w:r>
      <w:r w:rsidR="00616C3A" w:rsidRPr="00BF3E26">
        <w:rPr>
          <w:rFonts w:ascii="Tahoma" w:eastAsia="Times New Roman" w:hAnsi="Tahoma" w:cs="Tahoma"/>
          <w:bCs/>
          <w:color w:val="auto"/>
        </w:rPr>
        <w:t xml:space="preserve"> Ingresos</w:t>
      </w:r>
      <w:r w:rsidR="00BF3E26">
        <w:rPr>
          <w:rFonts w:ascii="Tahoma" w:eastAsia="Times New Roman" w:hAnsi="Tahoma" w:cs="Tahoma"/>
          <w:bCs/>
          <w:color w:val="auto"/>
        </w:rPr>
        <w:t xml:space="preserve"> Tributarios con $2.845 millones, Ingresos</w:t>
      </w:r>
      <w:r w:rsidR="00616C3A" w:rsidRPr="00BF3E26">
        <w:rPr>
          <w:rFonts w:ascii="Tahoma" w:eastAsia="Times New Roman" w:hAnsi="Tahoma" w:cs="Tahoma"/>
          <w:bCs/>
          <w:color w:val="auto"/>
        </w:rPr>
        <w:t xml:space="preserve"> </w:t>
      </w:r>
      <w:r w:rsidR="00BF3E26">
        <w:rPr>
          <w:rFonts w:ascii="Tahoma" w:eastAsia="Times New Roman" w:hAnsi="Tahoma" w:cs="Tahoma"/>
          <w:bCs/>
          <w:color w:val="auto"/>
        </w:rPr>
        <w:t>N</w:t>
      </w:r>
      <w:r w:rsidR="00616C3A" w:rsidRPr="00BF3E26">
        <w:rPr>
          <w:rFonts w:ascii="Tahoma" w:eastAsia="Times New Roman" w:hAnsi="Tahoma" w:cs="Tahoma"/>
          <w:bCs/>
          <w:color w:val="auto"/>
        </w:rPr>
        <w:t>o tributarios</w:t>
      </w:r>
      <w:r w:rsidR="00BF3E26">
        <w:rPr>
          <w:rFonts w:ascii="Tahoma" w:eastAsia="Times New Roman" w:hAnsi="Tahoma" w:cs="Tahoma"/>
          <w:bCs/>
          <w:color w:val="auto"/>
        </w:rPr>
        <w:t xml:space="preserve"> con $3.715 millones</w:t>
      </w:r>
      <w:r w:rsidR="00616C3A" w:rsidRPr="00BF3E26">
        <w:rPr>
          <w:rFonts w:ascii="Tahoma" w:eastAsia="Times New Roman" w:hAnsi="Tahoma" w:cs="Tahoma"/>
          <w:bCs/>
          <w:color w:val="auto"/>
        </w:rPr>
        <w:t>, entre los que se encuentran los recursos del</w:t>
      </w:r>
      <w:r w:rsidR="00B760AE" w:rsidRPr="00BF3E26">
        <w:rPr>
          <w:rFonts w:ascii="Tahoma" w:eastAsia="Times New Roman" w:hAnsi="Tahoma" w:cs="Tahoma"/>
          <w:bCs/>
          <w:color w:val="auto"/>
        </w:rPr>
        <w:t xml:space="preserve"> Sistema General</w:t>
      </w:r>
      <w:r w:rsidR="00E04672" w:rsidRPr="00BF3E26">
        <w:rPr>
          <w:rFonts w:ascii="Tahoma" w:eastAsia="Times New Roman" w:hAnsi="Tahoma" w:cs="Tahoma"/>
          <w:bCs/>
          <w:color w:val="auto"/>
        </w:rPr>
        <w:t xml:space="preserve"> </w:t>
      </w:r>
      <w:r w:rsidR="00B760AE" w:rsidRPr="00BF3E26">
        <w:rPr>
          <w:rFonts w:ascii="Tahoma" w:eastAsia="Times New Roman" w:hAnsi="Tahoma" w:cs="Tahoma"/>
          <w:bCs/>
          <w:color w:val="auto"/>
        </w:rPr>
        <w:t>de participaciones con $3.</w:t>
      </w:r>
      <w:r w:rsidR="00BF3E26" w:rsidRPr="00BF3E26">
        <w:rPr>
          <w:rFonts w:ascii="Tahoma" w:eastAsia="Times New Roman" w:hAnsi="Tahoma" w:cs="Tahoma"/>
          <w:bCs/>
          <w:color w:val="auto"/>
        </w:rPr>
        <w:t>579</w:t>
      </w:r>
      <w:r w:rsidR="00B760AE" w:rsidRPr="00BF3E26">
        <w:rPr>
          <w:rFonts w:ascii="Tahoma" w:eastAsia="Times New Roman" w:hAnsi="Tahoma" w:cs="Tahoma"/>
          <w:bCs/>
          <w:color w:val="auto"/>
        </w:rPr>
        <w:t xml:space="preserve"> millones</w:t>
      </w:r>
      <w:r w:rsidR="00E04672" w:rsidRPr="00BF3E26">
        <w:rPr>
          <w:rFonts w:ascii="Tahoma" w:eastAsia="Times New Roman" w:hAnsi="Tahoma" w:cs="Tahoma"/>
          <w:bCs/>
          <w:color w:val="auto"/>
        </w:rPr>
        <w:t xml:space="preserve"> </w:t>
      </w:r>
      <w:r w:rsidR="00BF3E26" w:rsidRPr="00BF3E26">
        <w:rPr>
          <w:rFonts w:ascii="Tahoma" w:eastAsia="Times New Roman" w:hAnsi="Tahoma" w:cs="Tahoma"/>
          <w:bCs/>
          <w:color w:val="auto"/>
        </w:rPr>
        <w:t>e Ingresos del Fondo Local de Salud c</w:t>
      </w:r>
      <w:r w:rsidR="00B760AE" w:rsidRPr="00BF3E26">
        <w:rPr>
          <w:rFonts w:ascii="Tahoma" w:eastAsia="Times New Roman" w:hAnsi="Tahoma" w:cs="Tahoma"/>
          <w:bCs/>
          <w:color w:val="auto"/>
        </w:rPr>
        <w:t>on $2.</w:t>
      </w:r>
      <w:r w:rsidR="00BF3E26" w:rsidRPr="00BF3E26">
        <w:rPr>
          <w:rFonts w:ascii="Tahoma" w:eastAsia="Times New Roman" w:hAnsi="Tahoma" w:cs="Tahoma"/>
          <w:bCs/>
          <w:color w:val="auto"/>
        </w:rPr>
        <w:t>571</w:t>
      </w:r>
      <w:r w:rsidR="00B760AE" w:rsidRPr="00BF3E26">
        <w:rPr>
          <w:rFonts w:ascii="Tahoma" w:eastAsia="Times New Roman" w:hAnsi="Tahoma" w:cs="Tahoma"/>
          <w:bCs/>
          <w:color w:val="auto"/>
        </w:rPr>
        <w:t xml:space="preserve"> millones</w:t>
      </w:r>
      <w:r w:rsidR="00E04672" w:rsidRPr="00BF3E26">
        <w:rPr>
          <w:rFonts w:ascii="Tahoma" w:eastAsia="Times New Roman" w:hAnsi="Tahoma" w:cs="Tahoma"/>
          <w:bCs/>
          <w:color w:val="auto"/>
        </w:rPr>
        <w:t>.</w:t>
      </w:r>
    </w:p>
    <w:p w:rsidR="00D82158" w:rsidRDefault="00D82158" w:rsidP="00256F6A">
      <w:pPr>
        <w:tabs>
          <w:tab w:val="left" w:pos="5667"/>
        </w:tabs>
        <w:spacing w:before="0" w:after="0" w:line="19" w:lineRule="atLeast"/>
        <w:jc w:val="both"/>
        <w:rPr>
          <w:rFonts w:ascii="Tahoma" w:eastAsia="Times New Roman" w:hAnsi="Tahoma" w:cs="Tahoma"/>
          <w:bCs/>
          <w:color w:val="auto"/>
        </w:rPr>
      </w:pPr>
    </w:p>
    <w:p w:rsidR="00176EEF" w:rsidRDefault="00B760AE"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 </w:t>
      </w:r>
      <w:r w:rsidR="0094723D">
        <w:rPr>
          <w:rFonts w:ascii="Tahoma" w:eastAsia="Times New Roman" w:hAnsi="Tahoma" w:cs="Tahoma"/>
          <w:bCs/>
          <w:color w:val="auto"/>
        </w:rPr>
        <w:t xml:space="preserve"> </w:t>
      </w:r>
      <w:r w:rsidR="00176EEF">
        <w:rPr>
          <w:rFonts w:ascii="Tahoma" w:eastAsia="Times New Roman" w:hAnsi="Tahoma" w:cs="Tahoma"/>
          <w:bCs/>
          <w:noProof/>
          <w:color w:val="auto"/>
        </w:rPr>
        <w:drawing>
          <wp:inline distT="0" distB="0" distL="0" distR="0" wp14:anchorId="4DB67526" wp14:editId="6BB92465">
            <wp:extent cx="5242560" cy="2316480"/>
            <wp:effectExtent l="0" t="0" r="15240" b="2667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07062" w:rsidRPr="002E4D5C" w:rsidRDefault="001D5CA9" w:rsidP="00256F6A">
      <w:pPr>
        <w:tabs>
          <w:tab w:val="left" w:pos="5667"/>
        </w:tabs>
        <w:spacing w:before="0" w:after="0" w:line="19" w:lineRule="atLeast"/>
        <w:jc w:val="both"/>
        <w:rPr>
          <w:rFonts w:ascii="Tahoma" w:eastAsia="Times New Roman" w:hAnsi="Tahoma" w:cs="Tahoma"/>
          <w:bCs/>
          <w:color w:val="auto"/>
          <w:sz w:val="20"/>
        </w:rPr>
      </w:pPr>
      <w:r w:rsidRPr="002E4D5C">
        <w:rPr>
          <w:rFonts w:ascii="Tahoma" w:eastAsia="Times New Roman" w:hAnsi="Tahoma" w:cs="Tahoma"/>
          <w:bCs/>
          <w:noProof/>
          <w:color w:val="auto"/>
          <w:sz w:val="20"/>
        </w:rPr>
        <w:lastRenderedPageBreak/>
        <w:drawing>
          <wp:inline distT="0" distB="0" distL="0" distR="0" wp14:anchorId="38B61E9E" wp14:editId="3DC16AD7">
            <wp:extent cx="5394960" cy="2545080"/>
            <wp:effectExtent l="0" t="0" r="15240" b="2667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B0A18" w:rsidRPr="002E4D5C" w:rsidRDefault="00256F6A" w:rsidP="00213F57">
      <w:pPr>
        <w:tabs>
          <w:tab w:val="left" w:pos="5667"/>
        </w:tabs>
        <w:spacing w:before="0" w:after="0" w:line="19" w:lineRule="atLeast"/>
        <w:jc w:val="both"/>
        <w:rPr>
          <w:rFonts w:ascii="Tahoma" w:hAnsi="Tahoma" w:cs="Tahoma"/>
          <w:b/>
          <w:noProof/>
          <w:color w:val="auto"/>
          <w:sz w:val="20"/>
        </w:rPr>
      </w:pPr>
      <w:r w:rsidRPr="002E4D5C">
        <w:rPr>
          <w:rFonts w:ascii="Tahoma" w:eastAsia="Times New Roman" w:hAnsi="Tahoma" w:cs="Tahoma"/>
          <w:bCs/>
          <w:color w:val="auto"/>
          <w:sz w:val="20"/>
        </w:rPr>
        <w:t xml:space="preserve"> </w:t>
      </w:r>
    </w:p>
    <w:p w:rsidR="00FB2024" w:rsidRDefault="005073CF" w:rsidP="009848DF">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t>COMPORTAMIENTO DEL RECAUDO:</w:t>
      </w:r>
    </w:p>
    <w:p w:rsidR="00691813" w:rsidRDefault="00691813" w:rsidP="008032B9">
      <w:pPr>
        <w:tabs>
          <w:tab w:val="left" w:pos="2835"/>
        </w:tabs>
        <w:spacing w:before="0" w:after="0" w:line="19" w:lineRule="atLeast"/>
        <w:jc w:val="both"/>
        <w:rPr>
          <w:rFonts w:ascii="Tahoma" w:hAnsi="Tahoma" w:cs="Tahoma"/>
          <w:noProof/>
          <w:color w:val="auto"/>
        </w:rPr>
      </w:pPr>
    </w:p>
    <w:p w:rsidR="008032B9" w:rsidRDefault="008032B9" w:rsidP="009848DF">
      <w:pPr>
        <w:tabs>
          <w:tab w:val="left" w:pos="2835"/>
        </w:tabs>
        <w:spacing w:before="0" w:after="0" w:line="19" w:lineRule="atLeast"/>
        <w:jc w:val="both"/>
        <w:rPr>
          <w:rFonts w:ascii="Tahoma" w:hAnsi="Tahoma" w:cs="Tahoma"/>
          <w:b/>
          <w:noProof/>
          <w:color w:val="auto"/>
        </w:rPr>
      </w:pPr>
      <w:r>
        <w:rPr>
          <w:rFonts w:ascii="Tahoma" w:hAnsi="Tahoma" w:cs="Tahoma"/>
          <w:noProof/>
          <w:color w:val="auto"/>
        </w:rPr>
        <w:t>E</w:t>
      </w:r>
      <w:r w:rsidRPr="00836C5C">
        <w:rPr>
          <w:rFonts w:ascii="Tahoma" w:hAnsi="Tahoma" w:cs="Tahoma"/>
          <w:noProof/>
          <w:color w:val="auto"/>
        </w:rPr>
        <w:t xml:space="preserve">l presupuesto de ingresos </w:t>
      </w:r>
      <w:r>
        <w:rPr>
          <w:rFonts w:ascii="Tahoma" w:hAnsi="Tahoma" w:cs="Tahoma"/>
          <w:noProof/>
          <w:color w:val="auto"/>
        </w:rPr>
        <w:t xml:space="preserve">definitivo </w:t>
      </w:r>
      <w:r w:rsidRPr="00836C5C">
        <w:rPr>
          <w:rFonts w:ascii="Tahoma" w:hAnsi="Tahoma" w:cs="Tahoma"/>
          <w:noProof/>
          <w:color w:val="auto"/>
        </w:rPr>
        <w:t xml:space="preserve">del Municipio de </w:t>
      </w:r>
      <w:r w:rsidR="0066026B">
        <w:rPr>
          <w:rFonts w:ascii="Tahoma" w:hAnsi="Tahoma" w:cs="Tahoma"/>
          <w:noProof/>
          <w:color w:val="auto"/>
        </w:rPr>
        <w:t>Coello</w:t>
      </w:r>
      <w:r w:rsidRPr="00836C5C">
        <w:rPr>
          <w:rFonts w:ascii="Tahoma" w:hAnsi="Tahoma" w:cs="Tahoma"/>
          <w:noProof/>
          <w:color w:val="auto"/>
        </w:rPr>
        <w:t xml:space="preserve"> a Diciembre 31 de 2015</w:t>
      </w:r>
      <w:r>
        <w:rPr>
          <w:rFonts w:ascii="Tahoma" w:hAnsi="Tahoma" w:cs="Tahoma"/>
          <w:noProof/>
          <w:color w:val="auto"/>
        </w:rPr>
        <w:t xml:space="preserve"> fue de $</w:t>
      </w:r>
      <w:r w:rsidR="0066026B">
        <w:rPr>
          <w:rFonts w:ascii="Tahoma" w:hAnsi="Tahoma" w:cs="Tahoma"/>
          <w:noProof/>
          <w:color w:val="auto"/>
        </w:rPr>
        <w:t>17.690.179.222</w:t>
      </w:r>
      <w:r w:rsidR="00F41E22">
        <w:rPr>
          <w:rFonts w:ascii="Tahoma" w:hAnsi="Tahoma" w:cs="Tahoma"/>
          <w:noProof/>
          <w:color w:val="auto"/>
        </w:rPr>
        <w:t>.oo</w:t>
      </w:r>
      <w:r>
        <w:rPr>
          <w:rFonts w:ascii="Tahoma" w:hAnsi="Tahoma" w:cs="Tahoma"/>
          <w:noProof/>
          <w:color w:val="auto"/>
        </w:rPr>
        <w:t xml:space="preserve">, de los cuales se recaudó la suma de </w:t>
      </w:r>
      <w:r w:rsidRPr="00767FB9">
        <w:rPr>
          <w:rFonts w:ascii="Tahoma" w:hAnsi="Tahoma" w:cs="Tahoma"/>
          <w:noProof/>
          <w:color w:val="auto"/>
        </w:rPr>
        <w:t>$</w:t>
      </w:r>
      <w:r w:rsidR="0066026B">
        <w:rPr>
          <w:rFonts w:ascii="Tahoma" w:hAnsi="Tahoma" w:cs="Tahoma"/>
          <w:noProof/>
          <w:color w:val="auto"/>
        </w:rPr>
        <w:t>15.765.210.292</w:t>
      </w:r>
      <w:r w:rsidR="00FF681E">
        <w:rPr>
          <w:rFonts w:ascii="Tahoma" w:hAnsi="Tahoma" w:cs="Tahoma"/>
          <w:noProof/>
          <w:color w:val="auto"/>
        </w:rPr>
        <w:t>.o</w:t>
      </w:r>
      <w:r w:rsidR="005E0382">
        <w:rPr>
          <w:rFonts w:ascii="Tahoma" w:hAnsi="Tahoma" w:cs="Tahoma"/>
          <w:noProof/>
          <w:color w:val="auto"/>
        </w:rPr>
        <w:t xml:space="preserve">o, es decir, el recaudo fue del </w:t>
      </w:r>
      <w:r w:rsidR="00941DC5">
        <w:rPr>
          <w:rFonts w:ascii="Tahoma" w:hAnsi="Tahoma" w:cs="Tahoma"/>
          <w:noProof/>
          <w:color w:val="auto"/>
        </w:rPr>
        <w:t>8</w:t>
      </w:r>
      <w:r w:rsidR="0066026B">
        <w:rPr>
          <w:rFonts w:ascii="Tahoma" w:hAnsi="Tahoma" w:cs="Tahoma"/>
          <w:noProof/>
          <w:color w:val="auto"/>
        </w:rPr>
        <w:t>9</w:t>
      </w:r>
      <w:r w:rsidR="00941DC5">
        <w:rPr>
          <w:rFonts w:ascii="Tahoma" w:hAnsi="Tahoma" w:cs="Tahoma"/>
          <w:noProof/>
          <w:color w:val="auto"/>
        </w:rPr>
        <w:t>.</w:t>
      </w:r>
      <w:r w:rsidR="0066026B">
        <w:rPr>
          <w:rFonts w:ascii="Tahoma" w:hAnsi="Tahoma" w:cs="Tahoma"/>
          <w:noProof/>
          <w:color w:val="auto"/>
        </w:rPr>
        <w:t>12</w:t>
      </w:r>
      <w:r w:rsidR="00941DC5">
        <w:rPr>
          <w:rFonts w:ascii="Tahoma" w:hAnsi="Tahoma" w:cs="Tahoma"/>
          <w:noProof/>
          <w:color w:val="auto"/>
        </w:rPr>
        <w:t>%</w:t>
      </w:r>
      <w:r w:rsidR="005E0382">
        <w:rPr>
          <w:rFonts w:ascii="Tahoma" w:hAnsi="Tahoma" w:cs="Tahoma"/>
          <w:noProof/>
          <w:color w:val="auto"/>
        </w:rPr>
        <w:t>,</w:t>
      </w:r>
      <w:r w:rsidR="00EA7A00">
        <w:rPr>
          <w:rFonts w:ascii="Tahoma" w:hAnsi="Tahoma" w:cs="Tahoma"/>
          <w:noProof/>
          <w:color w:val="auto"/>
        </w:rPr>
        <w:t xml:space="preserve"> </w:t>
      </w:r>
      <w:r>
        <w:rPr>
          <w:rFonts w:ascii="Tahoma" w:hAnsi="Tahoma" w:cs="Tahoma"/>
        </w:rPr>
        <w:t>qued</w:t>
      </w:r>
      <w:r w:rsidR="00EA7A00">
        <w:rPr>
          <w:rFonts w:ascii="Tahoma" w:hAnsi="Tahoma" w:cs="Tahoma"/>
        </w:rPr>
        <w:t>ando</w:t>
      </w:r>
      <w:r>
        <w:rPr>
          <w:rFonts w:ascii="Tahoma" w:hAnsi="Tahoma" w:cs="Tahoma"/>
        </w:rPr>
        <w:t xml:space="preserve"> pendiente por recaudar la suma de $</w:t>
      </w:r>
      <w:r w:rsidR="00941DC5">
        <w:rPr>
          <w:rFonts w:ascii="Tahoma" w:hAnsi="Tahoma" w:cs="Tahoma"/>
        </w:rPr>
        <w:t>1.</w:t>
      </w:r>
      <w:r w:rsidR="001D31AB">
        <w:rPr>
          <w:rFonts w:ascii="Tahoma" w:hAnsi="Tahoma" w:cs="Tahoma"/>
        </w:rPr>
        <w:t>924</w:t>
      </w:r>
      <w:r w:rsidR="007B2470">
        <w:rPr>
          <w:rFonts w:ascii="Tahoma" w:hAnsi="Tahoma" w:cs="Tahoma"/>
        </w:rPr>
        <w:t xml:space="preserve"> millones</w:t>
      </w:r>
      <w:r>
        <w:rPr>
          <w:rFonts w:ascii="Tahoma" w:hAnsi="Tahoma" w:cs="Tahoma"/>
        </w:rPr>
        <w:t>, correspondie</w:t>
      </w:r>
      <w:r w:rsidR="001D3576">
        <w:rPr>
          <w:rFonts w:ascii="Tahoma" w:hAnsi="Tahoma" w:cs="Tahoma"/>
        </w:rPr>
        <w:t>ntes a</w:t>
      </w:r>
      <w:r w:rsidR="00EA7A00">
        <w:rPr>
          <w:rFonts w:ascii="Tahoma" w:hAnsi="Tahoma" w:cs="Tahoma"/>
        </w:rPr>
        <w:t>l</w:t>
      </w:r>
      <w:r w:rsidR="001D31AB">
        <w:rPr>
          <w:rFonts w:ascii="Tahoma" w:hAnsi="Tahoma" w:cs="Tahoma"/>
        </w:rPr>
        <w:t xml:space="preserve"> Fondo Local de Salud.  </w:t>
      </w:r>
    </w:p>
    <w:p w:rsidR="00915224" w:rsidRDefault="00915224" w:rsidP="00691813">
      <w:pPr>
        <w:tabs>
          <w:tab w:val="left" w:pos="2835"/>
        </w:tabs>
        <w:spacing w:before="0" w:after="0" w:line="19" w:lineRule="atLeast"/>
        <w:rPr>
          <w:rFonts w:ascii="Tahoma" w:hAnsi="Tahoma" w:cs="Tahoma"/>
          <w:noProof/>
          <w:color w:val="auto"/>
        </w:rPr>
      </w:pPr>
    </w:p>
    <w:p w:rsidR="00691813" w:rsidRDefault="002E4D5C" w:rsidP="00691813">
      <w:pPr>
        <w:tabs>
          <w:tab w:val="left" w:pos="2835"/>
        </w:tabs>
        <w:spacing w:before="0" w:after="0" w:line="19" w:lineRule="atLeast"/>
        <w:jc w:val="center"/>
        <w:rPr>
          <w:rFonts w:ascii="Tahoma" w:hAnsi="Tahoma" w:cs="Tahoma"/>
          <w:noProof/>
          <w:color w:val="auto"/>
        </w:rPr>
      </w:pPr>
      <w:r>
        <w:rPr>
          <w:rFonts w:ascii="Tahoma" w:hAnsi="Tahoma" w:cs="Tahoma"/>
          <w:noProof/>
          <w:color w:val="auto"/>
        </w:rPr>
        <w:drawing>
          <wp:inline distT="0" distB="0" distL="0" distR="0" wp14:anchorId="402C92F9" wp14:editId="090F1E45">
            <wp:extent cx="5486400" cy="2910840"/>
            <wp:effectExtent l="0" t="0" r="19050" b="2286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073CF" w:rsidRDefault="001055EC" w:rsidP="00471A9A">
      <w:pPr>
        <w:tabs>
          <w:tab w:val="left" w:pos="3924"/>
        </w:tabs>
        <w:jc w:val="center"/>
        <w:rPr>
          <w:rFonts w:ascii="Tahoma" w:hAnsi="Tahoma" w:cs="Tahoma"/>
        </w:rPr>
      </w:pPr>
      <w:r>
        <w:rPr>
          <w:rFonts w:ascii="Tahoma" w:hAnsi="Tahoma" w:cs="Tahoma"/>
        </w:rPr>
        <w:t xml:space="preserve"> </w:t>
      </w:r>
    </w:p>
    <w:p w:rsidR="00D27BCA" w:rsidRPr="001D3576" w:rsidRDefault="00EE40F7" w:rsidP="001D3576">
      <w:pPr>
        <w:spacing w:before="0" w:after="0" w:line="19" w:lineRule="atLeast"/>
        <w:rPr>
          <w:rFonts w:ascii="Tahoma" w:hAnsi="Tahoma" w:cs="Tahoma"/>
          <w:b/>
        </w:rPr>
      </w:pPr>
      <w:r w:rsidRPr="001D3576">
        <w:rPr>
          <w:rFonts w:ascii="Tahoma" w:hAnsi="Tahoma" w:cs="Tahoma"/>
          <w:b/>
        </w:rPr>
        <w:lastRenderedPageBreak/>
        <w:t xml:space="preserve">2.2   </w:t>
      </w:r>
      <w:r w:rsidR="00D27BCA" w:rsidRPr="001D3576">
        <w:rPr>
          <w:rFonts w:ascii="Tahoma" w:hAnsi="Tahoma" w:cs="Tahoma"/>
          <w:b/>
        </w:rPr>
        <w:t>ANALISIS A LA EJECUCION  PRESUPUESTAL DE  GASTOS</w:t>
      </w:r>
    </w:p>
    <w:p w:rsidR="00481490" w:rsidRDefault="00481490" w:rsidP="001D6862">
      <w:pPr>
        <w:spacing w:before="0" w:after="0"/>
        <w:jc w:val="both"/>
        <w:rPr>
          <w:rFonts w:ascii="Tahoma" w:hAnsi="Tahoma" w:cs="Tahoma"/>
          <w:bCs/>
          <w:color w:val="auto"/>
        </w:rPr>
      </w:pPr>
    </w:p>
    <w:p w:rsidR="00B55631" w:rsidRDefault="00B55631" w:rsidP="00B55631">
      <w:pPr>
        <w:jc w:val="both"/>
        <w:rPr>
          <w:rFonts w:ascii="Tahoma" w:eastAsia="Times New Roman" w:hAnsi="Tahoma" w:cs="Tahoma"/>
          <w:b/>
          <w:bCs/>
          <w:color w:val="auto"/>
        </w:rPr>
      </w:pPr>
      <w:r w:rsidRPr="005540CE">
        <w:rPr>
          <w:rFonts w:ascii="Tahoma" w:hAnsi="Tahoma" w:cs="Tahoma"/>
        </w:rPr>
        <w:t xml:space="preserve">El presupuesto </w:t>
      </w:r>
      <w:r>
        <w:rPr>
          <w:rFonts w:ascii="Tahoma" w:hAnsi="Tahoma" w:cs="Tahoma"/>
        </w:rPr>
        <w:t xml:space="preserve">de </w:t>
      </w:r>
      <w:r w:rsidR="0009127B">
        <w:rPr>
          <w:rFonts w:ascii="Tahoma" w:hAnsi="Tahoma" w:cs="Tahoma"/>
        </w:rPr>
        <w:t>Gastos</w:t>
      </w:r>
      <w:r>
        <w:rPr>
          <w:rFonts w:ascii="Tahoma" w:hAnsi="Tahoma" w:cs="Tahoma"/>
        </w:rPr>
        <w:t xml:space="preserve"> del Municipio de Coello para la vigencia fiscal 2015 fue aprobado en la cuantía de </w:t>
      </w:r>
      <w:r w:rsidRPr="00174ED6">
        <w:rPr>
          <w:rFonts w:ascii="Tahoma" w:hAnsi="Tahoma" w:cs="Tahoma"/>
          <w:b/>
        </w:rPr>
        <w:t>$</w:t>
      </w:r>
      <w:r>
        <w:rPr>
          <w:rFonts w:ascii="Tahoma" w:hAnsi="Tahoma" w:cs="Tahoma"/>
          <w:b/>
        </w:rPr>
        <w:t xml:space="preserve">12.601.000.000.oo, </w:t>
      </w:r>
      <w:r w:rsidRPr="00DA6502">
        <w:rPr>
          <w:rFonts w:ascii="Tahoma" w:hAnsi="Tahoma" w:cs="Tahoma"/>
          <w:color w:val="auto"/>
        </w:rPr>
        <w:t>presentó adiciones</w:t>
      </w:r>
      <w:r>
        <w:rPr>
          <w:rFonts w:ascii="Tahoma" w:hAnsi="Tahoma" w:cs="Tahoma"/>
          <w:color w:val="auto"/>
        </w:rPr>
        <w:t xml:space="preserve"> presupuestales por</w:t>
      </w:r>
      <w:r w:rsidRPr="00DA6502">
        <w:rPr>
          <w:rFonts w:ascii="Tahoma" w:hAnsi="Tahoma" w:cs="Tahoma"/>
          <w:color w:val="auto"/>
        </w:rPr>
        <w:t xml:space="preserve"> </w:t>
      </w:r>
      <w:r w:rsidRPr="00231ECA">
        <w:rPr>
          <w:rFonts w:ascii="Tahoma" w:hAnsi="Tahoma" w:cs="Tahoma"/>
          <w:b/>
          <w:color w:val="auto"/>
        </w:rPr>
        <w:t>$</w:t>
      </w:r>
      <w:r>
        <w:rPr>
          <w:rFonts w:ascii="Tahoma" w:hAnsi="Tahoma" w:cs="Tahoma"/>
          <w:b/>
          <w:color w:val="auto"/>
        </w:rPr>
        <w:t>5.761.075.127.oo</w:t>
      </w:r>
      <w:r w:rsidRPr="00CA669B">
        <w:rPr>
          <w:rFonts w:ascii="Tahoma" w:hAnsi="Tahoma" w:cs="Tahoma"/>
          <w:b/>
          <w:color w:val="auto"/>
        </w:rPr>
        <w:t>,</w:t>
      </w:r>
      <w:r>
        <w:rPr>
          <w:rFonts w:ascii="Tahoma" w:hAnsi="Tahoma" w:cs="Tahoma"/>
          <w:b/>
          <w:color w:val="auto"/>
        </w:rPr>
        <w:t xml:space="preserve"> </w:t>
      </w:r>
      <w:r>
        <w:rPr>
          <w:rFonts w:ascii="Tahoma" w:eastAsia="Times New Roman" w:hAnsi="Tahoma" w:cs="Tahoma"/>
          <w:bCs/>
          <w:color w:val="auto"/>
        </w:rPr>
        <w:t xml:space="preserve">y reducciones por </w:t>
      </w:r>
      <w:r w:rsidRPr="00B26183">
        <w:rPr>
          <w:rFonts w:ascii="Tahoma" w:eastAsia="Times New Roman" w:hAnsi="Tahoma" w:cs="Tahoma"/>
          <w:b/>
          <w:bCs/>
          <w:color w:val="auto"/>
        </w:rPr>
        <w:t>$</w:t>
      </w:r>
      <w:r>
        <w:rPr>
          <w:rFonts w:ascii="Tahoma" w:eastAsia="Times New Roman" w:hAnsi="Tahoma" w:cs="Tahoma"/>
          <w:b/>
          <w:bCs/>
          <w:color w:val="auto"/>
        </w:rPr>
        <w:t>671.895.905</w:t>
      </w:r>
      <w:r w:rsidRPr="00B26183">
        <w:rPr>
          <w:rFonts w:ascii="Tahoma" w:eastAsia="Times New Roman" w:hAnsi="Tahoma" w:cs="Tahoma"/>
          <w:b/>
          <w:bCs/>
          <w:color w:val="auto"/>
        </w:rPr>
        <w:t>.oo</w:t>
      </w:r>
      <w:r>
        <w:rPr>
          <w:rFonts w:ascii="Tahoma" w:eastAsia="Times New Roman" w:hAnsi="Tahoma" w:cs="Tahoma"/>
          <w:bCs/>
          <w:color w:val="auto"/>
        </w:rPr>
        <w:t xml:space="preserve">, para un presupuesto definitivo a Diciembre 31 de 2015 de </w:t>
      </w:r>
      <w:r w:rsidRPr="00B26183">
        <w:rPr>
          <w:rFonts w:ascii="Tahoma" w:eastAsia="Times New Roman" w:hAnsi="Tahoma" w:cs="Tahoma"/>
          <w:b/>
          <w:bCs/>
          <w:color w:val="auto"/>
        </w:rPr>
        <w:t>$</w:t>
      </w:r>
      <w:r>
        <w:rPr>
          <w:rFonts w:ascii="Tahoma" w:eastAsia="Times New Roman" w:hAnsi="Tahoma" w:cs="Tahoma"/>
          <w:b/>
          <w:bCs/>
          <w:color w:val="auto"/>
        </w:rPr>
        <w:t>17.690.179.222.oo.</w:t>
      </w:r>
    </w:p>
    <w:p w:rsidR="00B55631" w:rsidRDefault="00B55631" w:rsidP="00B55631">
      <w:pPr>
        <w:tabs>
          <w:tab w:val="left" w:pos="2835"/>
        </w:tabs>
        <w:spacing w:before="0" w:after="0" w:line="19" w:lineRule="atLeast"/>
        <w:jc w:val="both"/>
        <w:rPr>
          <w:rFonts w:ascii="Tahoma" w:eastAsia="Times New Roman" w:hAnsi="Tahoma" w:cs="Tahoma"/>
          <w:b/>
          <w:bCs/>
          <w:color w:val="auto"/>
        </w:rPr>
      </w:pPr>
    </w:p>
    <w:p w:rsidR="00B55631" w:rsidRDefault="00B55631" w:rsidP="00B55631">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376"/>
        <w:gridCol w:w="2127"/>
        <w:gridCol w:w="1984"/>
        <w:gridCol w:w="2570"/>
      </w:tblGrid>
      <w:tr w:rsidR="00B55631" w:rsidRPr="00BA1DE4" w:rsidTr="00511C1B">
        <w:trPr>
          <w:trHeight w:val="327"/>
        </w:trPr>
        <w:tc>
          <w:tcPr>
            <w:tcW w:w="2376" w:type="dxa"/>
          </w:tcPr>
          <w:p w:rsidR="00B55631" w:rsidRPr="00B26183" w:rsidRDefault="00B55631" w:rsidP="00511C1B">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127" w:type="dxa"/>
          </w:tcPr>
          <w:p w:rsidR="00B55631" w:rsidRPr="00B26183" w:rsidRDefault="00B55631" w:rsidP="00511C1B">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1984" w:type="dxa"/>
          </w:tcPr>
          <w:p w:rsidR="00B55631" w:rsidRPr="00B26183" w:rsidRDefault="00B55631" w:rsidP="00511C1B">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570" w:type="dxa"/>
          </w:tcPr>
          <w:p w:rsidR="00B55631" w:rsidRPr="00B26183" w:rsidRDefault="00B55631" w:rsidP="00511C1B">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B55631" w:rsidRPr="00BA1DE4" w:rsidTr="00511C1B">
        <w:trPr>
          <w:trHeight w:val="551"/>
        </w:trPr>
        <w:tc>
          <w:tcPr>
            <w:tcW w:w="2376" w:type="dxa"/>
          </w:tcPr>
          <w:p w:rsidR="00B55631" w:rsidRPr="008D2D24" w:rsidRDefault="00B55631" w:rsidP="00511C1B">
            <w:pPr>
              <w:tabs>
                <w:tab w:val="left" w:pos="2835"/>
              </w:tabs>
              <w:spacing w:before="0" w:line="19" w:lineRule="atLeast"/>
              <w:jc w:val="center"/>
              <w:rPr>
                <w:rFonts w:ascii="Tahoma" w:eastAsia="Times New Roman" w:hAnsi="Tahoma" w:cs="Tahoma"/>
                <w:bCs/>
                <w:color w:val="auto"/>
                <w:sz w:val="20"/>
                <w:szCs w:val="20"/>
                <w:vertAlign w:val="subscript"/>
              </w:rPr>
            </w:pPr>
            <w:r w:rsidRPr="008D2D24">
              <w:rPr>
                <w:rFonts w:ascii="Tahoma" w:hAnsi="Tahoma" w:cs="Tahoma"/>
              </w:rPr>
              <w:t>$12.601.000.000.oo,</w:t>
            </w:r>
          </w:p>
        </w:tc>
        <w:tc>
          <w:tcPr>
            <w:tcW w:w="2127" w:type="dxa"/>
          </w:tcPr>
          <w:p w:rsidR="00B55631" w:rsidRPr="008D2D24" w:rsidRDefault="00B55631" w:rsidP="00511C1B">
            <w:pPr>
              <w:tabs>
                <w:tab w:val="left" w:pos="2835"/>
              </w:tabs>
              <w:spacing w:before="0" w:line="19" w:lineRule="atLeast"/>
              <w:jc w:val="center"/>
              <w:rPr>
                <w:rFonts w:ascii="Tahoma" w:eastAsia="Times New Roman" w:hAnsi="Tahoma" w:cs="Tahoma"/>
                <w:bCs/>
                <w:color w:val="auto"/>
                <w:sz w:val="20"/>
                <w:szCs w:val="20"/>
                <w:vertAlign w:val="subscript"/>
              </w:rPr>
            </w:pPr>
            <w:r w:rsidRPr="008D2D24">
              <w:rPr>
                <w:rFonts w:ascii="Tahoma" w:hAnsi="Tahoma" w:cs="Tahoma"/>
                <w:color w:val="auto"/>
              </w:rPr>
              <w:t>$5.761.075.127.oo</w:t>
            </w:r>
          </w:p>
        </w:tc>
        <w:tc>
          <w:tcPr>
            <w:tcW w:w="1984" w:type="dxa"/>
          </w:tcPr>
          <w:p w:rsidR="00B55631" w:rsidRPr="008D2D24" w:rsidRDefault="00B55631" w:rsidP="00511C1B">
            <w:pPr>
              <w:tabs>
                <w:tab w:val="left" w:pos="2835"/>
              </w:tabs>
              <w:spacing w:before="0" w:line="19" w:lineRule="atLeast"/>
              <w:jc w:val="center"/>
              <w:rPr>
                <w:rFonts w:ascii="Tahoma" w:eastAsia="Times New Roman" w:hAnsi="Tahoma" w:cs="Tahoma"/>
                <w:bCs/>
                <w:color w:val="auto"/>
                <w:sz w:val="20"/>
                <w:szCs w:val="20"/>
                <w:vertAlign w:val="subscript"/>
              </w:rPr>
            </w:pPr>
            <w:r w:rsidRPr="008D2D24">
              <w:rPr>
                <w:rFonts w:ascii="Tahoma" w:eastAsia="Times New Roman" w:hAnsi="Tahoma" w:cs="Tahoma"/>
                <w:bCs/>
                <w:color w:val="auto"/>
              </w:rPr>
              <w:t>$671.895.905.oo</w:t>
            </w:r>
          </w:p>
        </w:tc>
        <w:tc>
          <w:tcPr>
            <w:tcW w:w="2570" w:type="dxa"/>
          </w:tcPr>
          <w:p w:rsidR="00B55631" w:rsidRPr="008D2D24" w:rsidRDefault="00B55631" w:rsidP="00511C1B">
            <w:pPr>
              <w:tabs>
                <w:tab w:val="left" w:pos="2835"/>
              </w:tabs>
              <w:spacing w:before="0" w:line="19" w:lineRule="atLeast"/>
              <w:jc w:val="center"/>
              <w:rPr>
                <w:rFonts w:ascii="Tahoma" w:eastAsia="Times New Roman" w:hAnsi="Tahoma" w:cs="Tahoma"/>
                <w:bCs/>
                <w:color w:val="auto"/>
                <w:sz w:val="20"/>
                <w:szCs w:val="20"/>
                <w:vertAlign w:val="subscript"/>
              </w:rPr>
            </w:pPr>
            <w:r w:rsidRPr="008D2D24">
              <w:rPr>
                <w:rFonts w:ascii="Tahoma" w:eastAsia="Times New Roman" w:hAnsi="Tahoma" w:cs="Tahoma"/>
                <w:bCs/>
                <w:color w:val="auto"/>
              </w:rPr>
              <w:t>$17.690.179.222.oo</w:t>
            </w:r>
          </w:p>
        </w:tc>
      </w:tr>
    </w:tbl>
    <w:p w:rsidR="00B55631" w:rsidRPr="00256F6A" w:rsidRDefault="00B55631" w:rsidP="00B55631">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B55631" w:rsidRDefault="00B55631" w:rsidP="00B55631">
      <w:pPr>
        <w:tabs>
          <w:tab w:val="left" w:pos="4760"/>
          <w:tab w:val="left" w:pos="6013"/>
          <w:tab w:val="left" w:pos="6693"/>
        </w:tabs>
        <w:spacing w:before="0" w:after="0" w:line="19" w:lineRule="atLeast"/>
        <w:jc w:val="both"/>
        <w:rPr>
          <w:rFonts w:ascii="Tahoma" w:eastAsia="Times New Roman" w:hAnsi="Tahoma" w:cs="Tahoma"/>
          <w:bCs/>
          <w:color w:val="auto"/>
        </w:rPr>
      </w:pPr>
    </w:p>
    <w:p w:rsidR="00523B2E" w:rsidRDefault="00523B2E" w:rsidP="00523B2E">
      <w:pPr>
        <w:tabs>
          <w:tab w:val="left" w:pos="4760"/>
          <w:tab w:val="left" w:pos="6013"/>
          <w:tab w:val="left" w:pos="6693"/>
        </w:tabs>
        <w:spacing w:before="0" w:after="0" w:line="19" w:lineRule="atLeast"/>
        <w:jc w:val="both"/>
        <w:rPr>
          <w:rFonts w:ascii="Tahoma" w:eastAsia="Times New Roman" w:hAnsi="Tahoma" w:cs="Tahoma"/>
          <w:bCs/>
          <w:color w:val="auto"/>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El presupuesto de Gastos aprobado para la vigencia 2015 del Municipio  de</w:t>
      </w:r>
      <w:r w:rsidR="00D62647">
        <w:rPr>
          <w:rFonts w:ascii="Tahoma" w:hAnsi="Tahoma" w:cs="Tahoma"/>
          <w:color w:val="auto"/>
        </w:rPr>
        <w:t xml:space="preserve"> </w:t>
      </w:r>
      <w:r w:rsidR="001F4762">
        <w:rPr>
          <w:rFonts w:ascii="Tahoma" w:hAnsi="Tahoma" w:cs="Tahoma"/>
          <w:color w:val="auto"/>
        </w:rPr>
        <w:t>Coello</w:t>
      </w:r>
      <w:r w:rsidRPr="00C32B9A">
        <w:rPr>
          <w:rFonts w:ascii="Tahoma" w:hAnsi="Tahoma" w:cs="Tahoma"/>
          <w:color w:val="auto"/>
        </w:rPr>
        <w:t>, fue de $</w:t>
      </w:r>
      <w:r w:rsidR="001F4762">
        <w:rPr>
          <w:rFonts w:ascii="Tahoma" w:hAnsi="Tahoma" w:cs="Tahoma"/>
          <w:color w:val="auto"/>
        </w:rPr>
        <w:t>12.601</w:t>
      </w:r>
      <w:r w:rsidR="00881C9C">
        <w:rPr>
          <w:rFonts w:ascii="Tahoma" w:hAnsi="Tahoma" w:cs="Tahoma"/>
          <w:color w:val="auto"/>
        </w:rPr>
        <w:t xml:space="preserve"> millones</w:t>
      </w:r>
      <w:r w:rsidRPr="00C32B9A">
        <w:rPr>
          <w:rFonts w:ascii="Tahoma" w:hAnsi="Tahoma" w:cs="Tahoma"/>
          <w:color w:val="auto"/>
        </w:rPr>
        <w:t>, de los cuales $</w:t>
      </w:r>
      <w:r w:rsidR="00D62647">
        <w:rPr>
          <w:rFonts w:ascii="Tahoma" w:hAnsi="Tahoma" w:cs="Tahoma"/>
          <w:color w:val="auto"/>
        </w:rPr>
        <w:t>1.</w:t>
      </w:r>
      <w:r w:rsidR="00A24C85">
        <w:rPr>
          <w:rFonts w:ascii="Tahoma" w:hAnsi="Tahoma" w:cs="Tahoma"/>
          <w:color w:val="auto"/>
        </w:rPr>
        <w:t>956</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w:t>
      </w:r>
      <w:r w:rsidR="00A24C85">
        <w:rPr>
          <w:rFonts w:ascii="Tahoma" w:hAnsi="Tahoma" w:cs="Tahoma"/>
          <w:color w:val="auto"/>
        </w:rPr>
        <w:t>15.52</w:t>
      </w:r>
      <w:r w:rsidR="000344EC">
        <w:rPr>
          <w:rFonts w:ascii="Tahoma" w:hAnsi="Tahoma" w:cs="Tahoma"/>
          <w:color w:val="auto"/>
        </w:rPr>
        <w:t>%, Deuda P</w:t>
      </w:r>
      <w:r w:rsidR="00D62647">
        <w:rPr>
          <w:rFonts w:ascii="Tahoma" w:hAnsi="Tahoma" w:cs="Tahoma"/>
          <w:color w:val="auto"/>
        </w:rPr>
        <w:t>ública</w:t>
      </w:r>
      <w:r w:rsidR="0035110E">
        <w:rPr>
          <w:rFonts w:ascii="Tahoma" w:hAnsi="Tahoma" w:cs="Tahoma"/>
          <w:color w:val="auto"/>
        </w:rPr>
        <w:t xml:space="preserve"> </w:t>
      </w:r>
      <w:r w:rsidR="00A24C85">
        <w:rPr>
          <w:rFonts w:ascii="Tahoma" w:hAnsi="Tahoma" w:cs="Tahoma"/>
          <w:color w:val="auto"/>
        </w:rPr>
        <w:t>493</w:t>
      </w:r>
      <w:r w:rsidR="0035110E">
        <w:rPr>
          <w:rFonts w:ascii="Tahoma" w:hAnsi="Tahoma" w:cs="Tahoma"/>
          <w:color w:val="auto"/>
        </w:rPr>
        <w:t xml:space="preserve"> millones con un </w:t>
      </w:r>
      <w:r w:rsidR="00A24C85">
        <w:rPr>
          <w:rFonts w:ascii="Tahoma" w:hAnsi="Tahoma" w:cs="Tahoma"/>
          <w:color w:val="auto"/>
        </w:rPr>
        <w:t>3.91</w:t>
      </w:r>
      <w:r w:rsidR="0035110E">
        <w:rPr>
          <w:rFonts w:ascii="Tahoma" w:hAnsi="Tahoma" w:cs="Tahoma"/>
          <w:color w:val="auto"/>
        </w:rPr>
        <w:t>%</w:t>
      </w:r>
      <w:r w:rsidR="000344EC">
        <w:rPr>
          <w:rFonts w:ascii="Tahoma" w:hAnsi="Tahoma" w:cs="Tahoma"/>
          <w:color w:val="auto"/>
        </w:rPr>
        <w:t xml:space="preserve"> </w:t>
      </w:r>
      <w:r w:rsidRPr="00C32B9A">
        <w:rPr>
          <w:rFonts w:ascii="Tahoma" w:hAnsi="Tahoma" w:cs="Tahoma"/>
          <w:color w:val="auto"/>
        </w:rPr>
        <w:t>y Gastos de Inversión</w:t>
      </w:r>
      <w:r w:rsidR="00D62647">
        <w:rPr>
          <w:rFonts w:ascii="Tahoma" w:hAnsi="Tahoma" w:cs="Tahoma"/>
          <w:color w:val="auto"/>
        </w:rPr>
        <w:t xml:space="preserve"> $</w:t>
      </w:r>
      <w:r w:rsidR="00A24C85">
        <w:rPr>
          <w:rFonts w:ascii="Tahoma" w:hAnsi="Tahoma" w:cs="Tahoma"/>
          <w:color w:val="auto"/>
        </w:rPr>
        <w:t>10.152</w:t>
      </w:r>
      <w:r w:rsidR="000344EC">
        <w:rPr>
          <w:rFonts w:ascii="Tahoma" w:hAnsi="Tahoma" w:cs="Tahoma"/>
          <w:color w:val="auto"/>
        </w:rPr>
        <w:t xml:space="preserve"> millones</w:t>
      </w:r>
      <w:r w:rsidR="00D62647">
        <w:rPr>
          <w:rFonts w:ascii="Tahoma" w:hAnsi="Tahoma" w:cs="Tahoma"/>
          <w:color w:val="auto"/>
        </w:rPr>
        <w:t xml:space="preserve"> con un </w:t>
      </w:r>
      <w:r w:rsidR="00A24C85">
        <w:rPr>
          <w:rFonts w:ascii="Tahoma" w:hAnsi="Tahoma" w:cs="Tahoma"/>
          <w:color w:val="auto"/>
        </w:rPr>
        <w:t>80.57</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6948C5" w:rsidRDefault="006948C5" w:rsidP="00C32B9A">
      <w:pPr>
        <w:spacing w:before="0" w:after="0"/>
        <w:jc w:val="both"/>
        <w:rPr>
          <w:rFonts w:ascii="Tahoma" w:hAnsi="Tahoma" w:cs="Tahoma"/>
          <w:color w:val="auto"/>
        </w:rPr>
      </w:pPr>
    </w:p>
    <w:p w:rsidR="006948C5" w:rsidRPr="00C32B9A" w:rsidRDefault="006948C5" w:rsidP="00C32B9A">
      <w:pPr>
        <w:spacing w:before="0" w:after="0"/>
        <w:jc w:val="both"/>
        <w:rPr>
          <w:rFonts w:ascii="Tahoma" w:hAnsi="Tahoma" w:cs="Tahoma"/>
          <w:color w:val="auto"/>
        </w:rPr>
      </w:pPr>
      <w:r>
        <w:rPr>
          <w:rFonts w:ascii="Tahoma" w:hAnsi="Tahoma" w:cs="Tahoma"/>
          <w:noProof/>
          <w:color w:val="auto"/>
        </w:rPr>
        <w:drawing>
          <wp:inline distT="0" distB="0" distL="0" distR="0" wp14:anchorId="2408FF4E" wp14:editId="08371CB2">
            <wp:extent cx="5486400" cy="2815200"/>
            <wp:effectExtent l="0" t="0" r="0" b="444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948C5" w:rsidRDefault="00C32B9A" w:rsidP="00C32B9A">
      <w:pPr>
        <w:spacing w:before="0" w:after="0"/>
        <w:jc w:val="both"/>
        <w:rPr>
          <w:rFonts w:ascii="Tahoma" w:hAnsi="Tahoma" w:cs="Tahoma"/>
          <w:color w:val="auto"/>
        </w:rPr>
      </w:pPr>
      <w:r>
        <w:rPr>
          <w:rFonts w:ascii="Tahoma" w:hAnsi="Tahoma" w:cs="Tahoma"/>
          <w:color w:val="auto"/>
        </w:rPr>
        <w:t xml:space="preserve"> </w:t>
      </w:r>
    </w:p>
    <w:p w:rsidR="0056750E" w:rsidRDefault="00595DA7" w:rsidP="0056750E">
      <w:pPr>
        <w:spacing w:before="0" w:after="0"/>
        <w:jc w:val="both"/>
        <w:rPr>
          <w:rFonts w:ascii="Tahoma" w:hAnsi="Tahoma" w:cs="Tahoma"/>
          <w:color w:val="auto"/>
        </w:rPr>
      </w:pPr>
      <w:r w:rsidRPr="00E255C8">
        <w:rPr>
          <w:rFonts w:ascii="Tahoma" w:hAnsi="Tahoma" w:cs="Tahoma"/>
          <w:b/>
          <w:color w:val="auto"/>
        </w:rPr>
        <w:lastRenderedPageBreak/>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w:t>
      </w:r>
      <w:r w:rsidR="0066086C">
        <w:rPr>
          <w:rFonts w:ascii="Tahoma" w:hAnsi="Tahoma" w:cs="Tahoma"/>
          <w:color w:val="auto"/>
        </w:rPr>
        <w:t>804</w:t>
      </w:r>
      <w:r w:rsidR="00881C9C">
        <w:rPr>
          <w:rFonts w:ascii="Tahoma" w:hAnsi="Tahoma" w:cs="Tahoma"/>
          <w:color w:val="auto"/>
        </w:rPr>
        <w:t xml:space="preserve"> millones</w:t>
      </w:r>
      <w:r w:rsidR="00815CEE">
        <w:rPr>
          <w:rFonts w:ascii="Tahoma" w:hAnsi="Tahoma" w:cs="Tahoma"/>
          <w:color w:val="auto"/>
        </w:rPr>
        <w:t xml:space="preserve">, es decir con un </w:t>
      </w:r>
      <w:r w:rsidR="0066086C">
        <w:rPr>
          <w:rFonts w:ascii="Tahoma" w:hAnsi="Tahoma" w:cs="Tahoma"/>
          <w:color w:val="auto"/>
        </w:rPr>
        <w:t>6.38</w:t>
      </w:r>
      <w:r w:rsidR="00815CEE" w:rsidRPr="003539AE">
        <w:rPr>
          <w:rFonts w:ascii="Tahoma" w:hAnsi="Tahoma" w:cs="Tahoma"/>
          <w:color w:val="auto"/>
        </w:rPr>
        <w:t>%</w:t>
      </w:r>
      <w:r w:rsidR="00BE515D">
        <w:rPr>
          <w:rFonts w:ascii="Tahoma" w:hAnsi="Tahoma" w:cs="Tahoma"/>
          <w:color w:val="auto"/>
        </w:rPr>
        <w:t>, Transferencias</w:t>
      </w:r>
      <w:r w:rsidR="00815CEE" w:rsidRPr="003539AE">
        <w:rPr>
          <w:rFonts w:ascii="Tahoma" w:hAnsi="Tahoma" w:cs="Tahoma"/>
          <w:color w:val="auto"/>
        </w:rPr>
        <w:t xml:space="preserve"> $</w:t>
      </w:r>
      <w:r w:rsidR="0066086C">
        <w:rPr>
          <w:rFonts w:ascii="Tahoma" w:hAnsi="Tahoma" w:cs="Tahoma"/>
          <w:color w:val="auto"/>
        </w:rPr>
        <w:t>65</w:t>
      </w:r>
      <w:r w:rsidR="00DA457C">
        <w:rPr>
          <w:rFonts w:ascii="Tahoma" w:hAnsi="Tahoma" w:cs="Tahoma"/>
          <w:color w:val="auto"/>
        </w:rPr>
        <w:t>8</w:t>
      </w:r>
      <w:r w:rsidR="00881C9C" w:rsidRPr="003539AE">
        <w:rPr>
          <w:rFonts w:ascii="Tahoma" w:hAnsi="Tahoma" w:cs="Tahoma"/>
          <w:color w:val="auto"/>
        </w:rPr>
        <w:t xml:space="preserve"> millones</w:t>
      </w:r>
      <w:r w:rsidR="00BE515D">
        <w:rPr>
          <w:rFonts w:ascii="Tahoma" w:hAnsi="Tahoma" w:cs="Tahoma"/>
          <w:color w:val="auto"/>
        </w:rPr>
        <w:t>,</w:t>
      </w:r>
      <w:r w:rsidR="00815CEE" w:rsidRPr="003539AE">
        <w:rPr>
          <w:rFonts w:ascii="Tahoma" w:hAnsi="Tahoma" w:cs="Tahoma"/>
          <w:color w:val="auto"/>
        </w:rPr>
        <w:t xml:space="preserve"> </w:t>
      </w:r>
      <w:r w:rsidR="00BE515D">
        <w:rPr>
          <w:rFonts w:ascii="Tahoma" w:hAnsi="Tahoma" w:cs="Tahoma"/>
          <w:color w:val="auto"/>
        </w:rPr>
        <w:t xml:space="preserve">con </w:t>
      </w:r>
      <w:r w:rsidR="00815CEE" w:rsidRPr="003539AE">
        <w:rPr>
          <w:rFonts w:ascii="Tahoma" w:hAnsi="Tahoma" w:cs="Tahoma"/>
          <w:color w:val="auto"/>
        </w:rPr>
        <w:t xml:space="preserve">un </w:t>
      </w:r>
      <w:r w:rsidR="0066086C">
        <w:rPr>
          <w:rFonts w:ascii="Tahoma" w:hAnsi="Tahoma" w:cs="Tahoma"/>
          <w:color w:val="auto"/>
        </w:rPr>
        <w:t>5.22</w:t>
      </w:r>
      <w:r w:rsidR="003559D7" w:rsidRPr="003539AE">
        <w:rPr>
          <w:rFonts w:ascii="Tahoma" w:hAnsi="Tahoma" w:cs="Tahoma"/>
          <w:color w:val="auto"/>
        </w:rPr>
        <w:t>%,</w:t>
      </w:r>
      <w:r w:rsidR="00815CEE" w:rsidRPr="003539AE">
        <w:rPr>
          <w:rFonts w:ascii="Tahoma" w:hAnsi="Tahoma" w:cs="Tahoma"/>
          <w:color w:val="auto"/>
        </w:rPr>
        <w:t xml:space="preserve"> </w:t>
      </w:r>
      <w:r w:rsidR="005325B4" w:rsidRPr="003539AE">
        <w:rPr>
          <w:rFonts w:ascii="Tahoma" w:hAnsi="Tahoma" w:cs="Tahoma"/>
          <w:color w:val="auto"/>
        </w:rPr>
        <w:t xml:space="preserve"> Gastos Generales</w:t>
      </w:r>
      <w:r w:rsidR="00881C9C" w:rsidRPr="003539AE">
        <w:rPr>
          <w:rFonts w:ascii="Tahoma" w:hAnsi="Tahoma" w:cs="Tahoma"/>
          <w:color w:val="auto"/>
        </w:rPr>
        <w:t xml:space="preserve"> $</w:t>
      </w:r>
      <w:r w:rsidR="0066086C">
        <w:rPr>
          <w:rFonts w:ascii="Tahoma" w:hAnsi="Tahoma" w:cs="Tahoma"/>
          <w:color w:val="auto"/>
        </w:rPr>
        <w:t>494</w:t>
      </w:r>
      <w:r w:rsidR="00881C9C" w:rsidRPr="003539AE">
        <w:rPr>
          <w:rFonts w:ascii="Tahoma" w:hAnsi="Tahoma" w:cs="Tahoma"/>
          <w:color w:val="auto"/>
        </w:rPr>
        <w:t xml:space="preserve"> millones</w:t>
      </w:r>
      <w:r w:rsidR="00817D8E" w:rsidRPr="003539AE">
        <w:rPr>
          <w:rFonts w:ascii="Tahoma" w:hAnsi="Tahoma" w:cs="Tahoma"/>
          <w:color w:val="auto"/>
        </w:rPr>
        <w:t xml:space="preserve"> con un </w:t>
      </w:r>
      <w:r w:rsidR="0066086C">
        <w:rPr>
          <w:rFonts w:ascii="Tahoma" w:hAnsi="Tahoma" w:cs="Tahoma"/>
          <w:color w:val="auto"/>
        </w:rPr>
        <w:t>3.92</w:t>
      </w:r>
      <w:r w:rsidR="00DA457C">
        <w:rPr>
          <w:rFonts w:ascii="Tahoma" w:hAnsi="Tahoma" w:cs="Tahoma"/>
          <w:color w:val="auto"/>
        </w:rPr>
        <w:t>%</w:t>
      </w:r>
      <w:r w:rsidR="0056750E">
        <w:rPr>
          <w:rFonts w:ascii="Tahoma" w:hAnsi="Tahoma" w:cs="Tahoma"/>
          <w:color w:val="auto"/>
        </w:rPr>
        <w:t>.</w:t>
      </w:r>
    </w:p>
    <w:p w:rsidR="00595DA7" w:rsidRDefault="00595DA7" w:rsidP="0056750E">
      <w:pPr>
        <w:spacing w:before="0" w:after="0"/>
        <w:jc w:val="both"/>
        <w:rPr>
          <w:rFonts w:ascii="Tahoma" w:hAnsi="Tahoma" w:cs="Tahoma"/>
          <w:color w:val="auto"/>
        </w:rPr>
      </w:pPr>
      <w:r w:rsidRPr="003539AE">
        <w:rPr>
          <w:rFonts w:ascii="Tahoma" w:hAnsi="Tahoma" w:cs="Tahoma"/>
          <w:color w:val="auto"/>
        </w:rPr>
        <w:tab/>
      </w:r>
    </w:p>
    <w:p w:rsidR="00595DA7" w:rsidRDefault="00EF1F54" w:rsidP="001D6862">
      <w:pPr>
        <w:spacing w:before="0" w:after="0"/>
        <w:rPr>
          <w:rFonts w:ascii="Tahoma" w:hAnsi="Tahoma" w:cs="Tahoma"/>
          <w:b/>
          <w:szCs w:val="24"/>
        </w:rPr>
      </w:pPr>
      <w:r>
        <w:rPr>
          <w:rFonts w:ascii="Tahoma" w:hAnsi="Tahoma" w:cs="Tahoma"/>
          <w:noProof/>
          <w:color w:val="auto"/>
        </w:rPr>
        <w:drawing>
          <wp:inline distT="0" distB="0" distL="0" distR="0" wp14:anchorId="45548579" wp14:editId="56913E42">
            <wp:extent cx="5486400" cy="3208020"/>
            <wp:effectExtent l="0" t="0" r="19050" b="1143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A0FB7" w:rsidRDefault="00AA0FB7" w:rsidP="00595DA7">
      <w:pPr>
        <w:spacing w:before="0" w:after="0"/>
        <w:jc w:val="both"/>
        <w:rPr>
          <w:rFonts w:ascii="Tahoma" w:hAnsi="Tahoma" w:cs="Tahoma"/>
          <w:color w:val="auto"/>
        </w:rPr>
      </w:pPr>
    </w:p>
    <w:p w:rsidR="00740BC2" w:rsidRDefault="00740BC2" w:rsidP="00595DA7">
      <w:pPr>
        <w:spacing w:before="0" w:after="0"/>
        <w:jc w:val="both"/>
        <w:rPr>
          <w:rFonts w:ascii="Tahoma" w:hAnsi="Tahoma" w:cs="Tahoma"/>
          <w:b/>
          <w:color w:val="auto"/>
        </w:rPr>
      </w:pPr>
    </w:p>
    <w:p w:rsidR="00EE108B" w:rsidRDefault="00595DA7" w:rsidP="00595DA7">
      <w:pPr>
        <w:spacing w:before="0" w:after="0"/>
        <w:jc w:val="both"/>
        <w:rPr>
          <w:rFonts w:ascii="Tahoma" w:hAnsi="Tahoma" w:cs="Tahoma"/>
          <w:color w:val="auto"/>
        </w:rPr>
      </w:pPr>
      <w:r w:rsidRPr="00E255C8">
        <w:rPr>
          <w:rFonts w:ascii="Tahoma" w:hAnsi="Tahoma" w:cs="Tahoma"/>
          <w:b/>
          <w:color w:val="auto"/>
        </w:rPr>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690E68">
        <w:rPr>
          <w:rFonts w:ascii="Tahoma" w:hAnsi="Tahoma" w:cs="Tahoma"/>
          <w:color w:val="auto"/>
        </w:rPr>
        <w:t xml:space="preserve">Sector Salud </w:t>
      </w:r>
      <w:r w:rsidR="008C10F9">
        <w:rPr>
          <w:rFonts w:ascii="Tahoma" w:hAnsi="Tahoma" w:cs="Tahoma"/>
          <w:color w:val="auto"/>
        </w:rPr>
        <w:t>30.44</w:t>
      </w:r>
      <w:r w:rsidR="0084571C">
        <w:rPr>
          <w:rFonts w:ascii="Tahoma" w:hAnsi="Tahoma" w:cs="Tahoma"/>
          <w:color w:val="auto"/>
        </w:rPr>
        <w:t>%</w:t>
      </w:r>
      <w:r w:rsidR="00690E68">
        <w:rPr>
          <w:rFonts w:ascii="Tahoma" w:hAnsi="Tahoma" w:cs="Tahoma"/>
          <w:color w:val="auto"/>
        </w:rPr>
        <w:t xml:space="preserve">, </w:t>
      </w:r>
      <w:r w:rsidR="00EE108B">
        <w:rPr>
          <w:rFonts w:ascii="Tahoma" w:hAnsi="Tahoma" w:cs="Tahoma"/>
          <w:color w:val="auto"/>
        </w:rPr>
        <w:t>Sector</w:t>
      </w:r>
      <w:r w:rsidR="008C10F9">
        <w:rPr>
          <w:rFonts w:ascii="Tahoma" w:hAnsi="Tahoma" w:cs="Tahoma"/>
          <w:color w:val="auto"/>
        </w:rPr>
        <w:t xml:space="preserve"> Transporte con un 25.52%, Saneamiento básico 5.69%, Educación 4.07%, Vivienda 2.49%. Sector Gobierno 2.48%</w:t>
      </w:r>
      <w:r w:rsidR="00EE108B">
        <w:rPr>
          <w:rFonts w:ascii="Tahoma" w:hAnsi="Tahoma" w:cs="Tahoma"/>
          <w:color w:val="auto"/>
        </w:rPr>
        <w:t xml:space="preserve"> y otros sectores </w:t>
      </w:r>
      <w:r w:rsidR="008C10F9">
        <w:rPr>
          <w:rFonts w:ascii="Tahoma" w:hAnsi="Tahoma" w:cs="Tahoma"/>
          <w:color w:val="auto"/>
        </w:rPr>
        <w:t>3.02</w:t>
      </w:r>
      <w:r w:rsidR="00EE108B">
        <w:rPr>
          <w:rFonts w:ascii="Tahoma" w:hAnsi="Tahoma" w:cs="Tahoma"/>
          <w:color w:val="auto"/>
        </w:rPr>
        <w:t>%</w:t>
      </w:r>
    </w:p>
    <w:p w:rsidR="00EE108B" w:rsidRDefault="00EE108B" w:rsidP="00595DA7">
      <w:pPr>
        <w:spacing w:before="0" w:after="0"/>
        <w:jc w:val="both"/>
        <w:rPr>
          <w:rFonts w:ascii="Tahoma" w:hAnsi="Tahoma" w:cs="Tahoma"/>
          <w:color w:val="auto"/>
        </w:rPr>
      </w:pPr>
    </w:p>
    <w:p w:rsidR="00BB226F" w:rsidRDefault="0058720B" w:rsidP="00595DA7">
      <w:pPr>
        <w:spacing w:before="0" w:after="0"/>
        <w:jc w:val="both"/>
        <w:rPr>
          <w:rFonts w:ascii="Tahoma" w:hAnsi="Tahoma" w:cs="Tahoma"/>
          <w:color w:val="auto"/>
        </w:rPr>
      </w:pPr>
      <w:r>
        <w:rPr>
          <w:rFonts w:ascii="Tahoma" w:hAnsi="Tahoma" w:cs="Tahoma"/>
          <w:noProof/>
          <w:color w:val="auto"/>
        </w:rPr>
        <w:lastRenderedPageBreak/>
        <w:drawing>
          <wp:inline distT="0" distB="0" distL="0" distR="0">
            <wp:extent cx="5486400" cy="3200400"/>
            <wp:effectExtent l="0" t="0" r="1905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740A1" w:rsidRDefault="000740A1" w:rsidP="00595DA7">
      <w:pPr>
        <w:spacing w:before="0" w:after="0"/>
        <w:jc w:val="both"/>
        <w:rPr>
          <w:rFonts w:ascii="Tahoma" w:hAnsi="Tahoma" w:cs="Tahoma"/>
          <w:color w:val="auto"/>
        </w:rPr>
      </w:pPr>
    </w:p>
    <w:p w:rsidR="001E2CF6" w:rsidRDefault="00595DA7" w:rsidP="00817D8E">
      <w:pPr>
        <w:tabs>
          <w:tab w:val="left" w:pos="4989"/>
          <w:tab w:val="left" w:pos="5901"/>
        </w:tabs>
        <w:spacing w:before="0" w:after="0"/>
        <w:jc w:val="both"/>
        <w:rPr>
          <w:rFonts w:ascii="Tahoma" w:hAnsi="Tahoma" w:cs="Tahoma"/>
          <w:b/>
          <w:szCs w:val="24"/>
        </w:rPr>
      </w:pPr>
      <w:r>
        <w:rPr>
          <w:rFonts w:ascii="Tahoma" w:hAnsi="Tahoma" w:cs="Tahoma"/>
          <w:color w:val="auto"/>
        </w:rPr>
        <w:tab/>
      </w:r>
    </w:p>
    <w:p w:rsidR="00231ECA" w:rsidRDefault="00231ECA" w:rsidP="001D6862">
      <w:pPr>
        <w:spacing w:before="0" w:after="0"/>
        <w:rPr>
          <w:rFonts w:ascii="Tahoma" w:hAnsi="Tahoma" w:cs="Tahoma"/>
          <w:b/>
          <w:szCs w:val="24"/>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w:t>
      </w:r>
      <w:r w:rsidR="000D213C">
        <w:rPr>
          <w:rFonts w:ascii="Tahoma" w:hAnsi="Tahoma" w:cs="Tahoma"/>
          <w:szCs w:val="24"/>
        </w:rPr>
        <w:t>Coello</w:t>
      </w:r>
      <w:r w:rsidR="0000440B">
        <w:rPr>
          <w:rFonts w:ascii="Tahoma" w:hAnsi="Tahoma" w:cs="Tahoma"/>
          <w:szCs w:val="24"/>
        </w:rPr>
        <w:t xml:space="preserve"> </w:t>
      </w:r>
      <w:r>
        <w:rPr>
          <w:rFonts w:ascii="Tahoma" w:hAnsi="Tahoma" w:cs="Tahoma"/>
          <w:szCs w:val="24"/>
        </w:rPr>
        <w:t xml:space="preserve">de </w:t>
      </w:r>
      <w:r w:rsidR="00595DA7">
        <w:rPr>
          <w:rFonts w:ascii="Tahoma" w:hAnsi="Tahoma" w:cs="Tahoma"/>
          <w:szCs w:val="24"/>
        </w:rPr>
        <w:t>la vigencia 2015, presentó Adiciones pres</w:t>
      </w:r>
      <w:r w:rsidR="00264A57">
        <w:rPr>
          <w:rFonts w:ascii="Tahoma" w:hAnsi="Tahoma" w:cs="Tahoma"/>
          <w:szCs w:val="24"/>
        </w:rPr>
        <w:t xml:space="preserve">upuestales en la suma de $ </w:t>
      </w:r>
      <w:r w:rsidR="000D213C">
        <w:rPr>
          <w:rFonts w:ascii="Tahoma" w:hAnsi="Tahoma" w:cs="Tahoma"/>
          <w:szCs w:val="24"/>
        </w:rPr>
        <w:t>5.761</w:t>
      </w:r>
      <w:r w:rsidR="0000440B">
        <w:rPr>
          <w:rFonts w:ascii="Tahoma" w:hAnsi="Tahoma" w:cs="Tahoma"/>
          <w:szCs w:val="24"/>
        </w:rPr>
        <w:t xml:space="preserve"> </w:t>
      </w:r>
      <w:r w:rsidR="00264A57">
        <w:rPr>
          <w:rFonts w:ascii="Tahoma" w:hAnsi="Tahoma" w:cs="Tahoma"/>
          <w:szCs w:val="24"/>
        </w:rPr>
        <w:t>millones</w:t>
      </w:r>
      <w:r w:rsidR="00570EEE">
        <w:rPr>
          <w:rFonts w:ascii="Tahoma" w:hAnsi="Tahoma" w:cs="Tahoma"/>
          <w:szCs w:val="24"/>
        </w:rPr>
        <w:t xml:space="preserve">, </w:t>
      </w:r>
      <w:r w:rsidR="00595DA7">
        <w:rPr>
          <w:rFonts w:ascii="Tahoma" w:hAnsi="Tahoma" w:cs="Tahoma"/>
          <w:szCs w:val="24"/>
        </w:rPr>
        <w:t>reducciones en la suma de $</w:t>
      </w:r>
      <w:r w:rsidR="00231648">
        <w:rPr>
          <w:rFonts w:ascii="Tahoma" w:hAnsi="Tahoma" w:cs="Tahoma"/>
          <w:szCs w:val="24"/>
        </w:rPr>
        <w:t>671</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w:t>
      </w:r>
      <w:r w:rsidR="00231648">
        <w:rPr>
          <w:rFonts w:ascii="Tahoma" w:hAnsi="Tahoma" w:cs="Tahoma"/>
          <w:szCs w:val="24"/>
        </w:rPr>
        <w:t>4.334</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231648">
        <w:rPr>
          <w:rFonts w:ascii="Tahoma" w:hAnsi="Tahoma" w:cs="Tahoma"/>
          <w:szCs w:val="24"/>
        </w:rPr>
        <w:t xml:space="preserve">17.690 </w:t>
      </w:r>
      <w:r w:rsidR="00264A57">
        <w:rPr>
          <w:rFonts w:ascii="Tahoma" w:hAnsi="Tahoma" w:cs="Tahoma"/>
          <w:szCs w:val="24"/>
        </w:rPr>
        <w:t>millones.</w:t>
      </w:r>
    </w:p>
    <w:p w:rsidR="00264A57" w:rsidRDefault="00264A57" w:rsidP="00595DA7">
      <w:pPr>
        <w:tabs>
          <w:tab w:val="left" w:pos="5696"/>
        </w:tabs>
        <w:spacing w:before="0" w:after="0"/>
        <w:jc w:val="both"/>
        <w:rPr>
          <w:rFonts w:ascii="Tahoma" w:hAnsi="Tahoma" w:cs="Tahoma"/>
          <w:szCs w:val="24"/>
        </w:rPr>
      </w:pP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r w:rsidR="0093138C">
        <w:rPr>
          <w:rFonts w:ascii="Tahoma" w:hAnsi="Tahoma" w:cs="Tahoma"/>
          <w:b/>
          <w:szCs w:val="24"/>
        </w:rPr>
        <w:t xml:space="preserve"> E INVERSION</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 xml:space="preserve">Los Gastos de funcionamiento se incrementaron en un </w:t>
      </w:r>
      <w:r w:rsidR="002B6D05">
        <w:rPr>
          <w:rFonts w:ascii="Tahoma" w:hAnsi="Tahoma" w:cs="Tahoma"/>
          <w:szCs w:val="24"/>
        </w:rPr>
        <w:t>0.23</w:t>
      </w:r>
      <w:r>
        <w:rPr>
          <w:rFonts w:ascii="Tahoma" w:hAnsi="Tahoma" w:cs="Tahoma"/>
          <w:szCs w:val="24"/>
        </w:rPr>
        <w:t>%, es decir la suma de $</w:t>
      </w:r>
      <w:r w:rsidR="002B6D05">
        <w:rPr>
          <w:rFonts w:ascii="Tahoma" w:hAnsi="Tahoma" w:cs="Tahoma"/>
          <w:szCs w:val="24"/>
        </w:rPr>
        <w:t>4</w:t>
      </w:r>
      <w:r w:rsidR="00264A57">
        <w:rPr>
          <w:rFonts w:ascii="Tahoma" w:hAnsi="Tahoma" w:cs="Tahoma"/>
          <w:szCs w:val="24"/>
        </w:rPr>
        <w:t xml:space="preserve"> millones</w:t>
      </w:r>
      <w:r>
        <w:rPr>
          <w:rFonts w:ascii="Tahoma" w:hAnsi="Tahoma" w:cs="Tahoma"/>
          <w:szCs w:val="24"/>
        </w:rPr>
        <w:t xml:space="preserve"> y los gastos de Inversión en un </w:t>
      </w:r>
      <w:r w:rsidR="002B6D05">
        <w:rPr>
          <w:rFonts w:ascii="Tahoma" w:hAnsi="Tahoma" w:cs="Tahoma"/>
          <w:szCs w:val="24"/>
        </w:rPr>
        <w:t>55.65%</w:t>
      </w:r>
      <w:r>
        <w:rPr>
          <w:rFonts w:ascii="Tahoma" w:hAnsi="Tahoma" w:cs="Tahoma"/>
          <w:szCs w:val="24"/>
        </w:rPr>
        <w:t>, equivalentes a $</w:t>
      </w:r>
      <w:r w:rsidR="002B6D05">
        <w:rPr>
          <w:rFonts w:ascii="Tahoma" w:hAnsi="Tahoma" w:cs="Tahoma"/>
          <w:szCs w:val="24"/>
        </w:rPr>
        <w:t xml:space="preserve">5.649 </w:t>
      </w:r>
      <w:r w:rsidR="00264A57">
        <w:rPr>
          <w:rFonts w:ascii="Tahoma" w:hAnsi="Tahoma" w:cs="Tahoma"/>
          <w:szCs w:val="24"/>
        </w:rPr>
        <w:t>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8C2EA2" w:rsidRDefault="008C2EA2" w:rsidP="00595DA7">
      <w:pPr>
        <w:tabs>
          <w:tab w:val="left" w:pos="5696"/>
        </w:tabs>
        <w:spacing w:before="0" w:after="0"/>
        <w:jc w:val="both"/>
        <w:rPr>
          <w:rFonts w:ascii="Tahoma" w:hAnsi="Tahoma" w:cs="Tahoma"/>
          <w:szCs w:val="24"/>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B03114"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sidR="00B03114">
        <w:rPr>
          <w:rFonts w:ascii="Tahoma" w:hAnsi="Tahoma" w:cs="Tahoma"/>
          <w:color w:val="auto"/>
          <w:szCs w:val="16"/>
        </w:rPr>
        <w:t>:</w:t>
      </w:r>
      <w:r w:rsidR="000043A7">
        <w:rPr>
          <w:rFonts w:ascii="Tahoma" w:hAnsi="Tahoma" w:cs="Tahoma"/>
          <w:color w:val="auto"/>
          <w:szCs w:val="16"/>
        </w:rPr>
        <w:t xml:space="preserve"> Sector Transporte $1.062, Sector Salud $549 millones, Arte y Cultura 643 millones, Saneamiento básico $462 millones, Medio Ambiente $307</w:t>
      </w:r>
      <w:r w:rsidR="00B03114">
        <w:rPr>
          <w:rFonts w:ascii="Tahoma" w:hAnsi="Tahoma" w:cs="Tahoma"/>
          <w:color w:val="auto"/>
          <w:szCs w:val="16"/>
        </w:rPr>
        <w:t xml:space="preserve"> </w:t>
      </w:r>
      <w:r w:rsidR="000043A7">
        <w:rPr>
          <w:rFonts w:ascii="Tahoma" w:hAnsi="Tahoma" w:cs="Tahoma"/>
          <w:color w:val="auto"/>
          <w:szCs w:val="16"/>
        </w:rPr>
        <w:t>millones y Educación 231 millones.</w:t>
      </w:r>
    </w:p>
    <w:p w:rsidR="00B03114" w:rsidRDefault="00B03114" w:rsidP="001D6862">
      <w:pPr>
        <w:spacing w:before="0" w:after="0"/>
        <w:jc w:val="both"/>
        <w:rPr>
          <w:rFonts w:ascii="Tahoma" w:hAnsi="Tahoma" w:cs="Tahoma"/>
          <w:color w:val="auto"/>
          <w:szCs w:val="16"/>
        </w:rPr>
      </w:pPr>
    </w:p>
    <w:p w:rsidR="00FE1ACA" w:rsidRDefault="00FE1ACA" w:rsidP="00B92753">
      <w:pPr>
        <w:spacing w:before="0" w:after="0"/>
        <w:jc w:val="center"/>
        <w:rPr>
          <w:noProof/>
          <w:lang w:val="es-ES" w:eastAsia="es-ES"/>
        </w:rPr>
      </w:pPr>
    </w:p>
    <w:p w:rsidR="00FE1ACA" w:rsidRDefault="00FE1ACA" w:rsidP="00B92753">
      <w:pPr>
        <w:spacing w:before="0" w:after="0"/>
        <w:jc w:val="center"/>
        <w:rPr>
          <w:noProof/>
          <w:lang w:val="es-ES" w:eastAsia="es-ES"/>
        </w:rPr>
      </w:pPr>
      <w:r>
        <w:rPr>
          <w:noProof/>
        </w:rPr>
        <w:drawing>
          <wp:inline distT="0" distB="0" distL="0" distR="0" wp14:anchorId="576F2A03" wp14:editId="5EABAA34">
            <wp:extent cx="4945380" cy="2796540"/>
            <wp:effectExtent l="0" t="0" r="26670" b="2286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E1ACA" w:rsidRDefault="00FE1ACA" w:rsidP="00B92753">
      <w:pPr>
        <w:spacing w:before="0" w:after="0"/>
        <w:jc w:val="center"/>
        <w:rPr>
          <w:noProof/>
          <w:lang w:val="es-ES" w:eastAsia="es-ES"/>
        </w:rPr>
      </w:pPr>
    </w:p>
    <w:p w:rsidR="009531E2" w:rsidRDefault="009531E2" w:rsidP="00B92753">
      <w:pPr>
        <w:spacing w:before="0" w:after="0"/>
        <w:jc w:val="center"/>
        <w:rPr>
          <w:noProof/>
          <w:lang w:val="es-ES" w:eastAsia="es-ES"/>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8F01DE">
        <w:rPr>
          <w:rFonts w:ascii="Tahoma" w:hAnsi="Tahoma" w:cs="Tahoma"/>
          <w:szCs w:val="24"/>
        </w:rPr>
        <w:t>Coello</w:t>
      </w:r>
      <w:r w:rsidR="003C2C8D">
        <w:rPr>
          <w:rFonts w:ascii="Tahoma" w:hAnsi="Tahoma" w:cs="Tahoma"/>
          <w:szCs w:val="24"/>
        </w:rPr>
        <w:t xml:space="preserve"> </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8F01DE">
        <w:rPr>
          <w:rFonts w:ascii="Tahoma" w:hAnsi="Tahoma" w:cs="Tahoma"/>
          <w:color w:val="auto"/>
        </w:rPr>
        <w:t>16.068</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6A72BA">
        <w:rPr>
          <w:rFonts w:ascii="Tahoma" w:hAnsi="Tahoma" w:cs="Tahoma"/>
          <w:bCs/>
          <w:color w:val="auto"/>
        </w:rPr>
        <w:t>1.9</w:t>
      </w:r>
      <w:r w:rsidR="008F01DE">
        <w:rPr>
          <w:rFonts w:ascii="Tahoma" w:hAnsi="Tahoma" w:cs="Tahoma"/>
          <w:bCs/>
          <w:color w:val="auto"/>
        </w:rPr>
        <w:t>27</w:t>
      </w:r>
      <w:r w:rsidR="00264A57">
        <w:rPr>
          <w:rFonts w:ascii="Tahoma" w:hAnsi="Tahoma" w:cs="Tahoma"/>
          <w:bCs/>
          <w:color w:val="auto"/>
        </w:rPr>
        <w:t xml:space="preserve"> millones</w:t>
      </w:r>
      <w:r w:rsidR="006A72BA">
        <w:rPr>
          <w:rFonts w:ascii="Tahoma" w:hAnsi="Tahoma" w:cs="Tahoma"/>
          <w:bCs/>
          <w:color w:val="auto"/>
        </w:rPr>
        <w:t>,</w:t>
      </w:r>
      <w:r w:rsidRPr="00B65E8C">
        <w:rPr>
          <w:rFonts w:ascii="Tahoma" w:hAnsi="Tahoma" w:cs="Tahoma"/>
          <w:bCs/>
          <w:color w:val="auto"/>
        </w:rPr>
        <w:t xml:space="preserve"> e Inversión </w:t>
      </w:r>
      <w:r w:rsidR="009C7A81">
        <w:rPr>
          <w:rFonts w:ascii="Tahoma" w:hAnsi="Tahoma" w:cs="Tahoma"/>
          <w:bCs/>
          <w:color w:val="auto"/>
        </w:rPr>
        <w:t xml:space="preserve">en la suma </w:t>
      </w:r>
      <w:r w:rsidRPr="00B65E8C">
        <w:rPr>
          <w:rFonts w:ascii="Tahoma" w:hAnsi="Tahoma" w:cs="Tahoma"/>
          <w:bCs/>
          <w:color w:val="auto"/>
        </w:rPr>
        <w:t>de $</w:t>
      </w:r>
      <w:r w:rsidR="008F01DE">
        <w:rPr>
          <w:rFonts w:ascii="Tahoma" w:hAnsi="Tahoma" w:cs="Tahoma"/>
          <w:bCs/>
          <w:color w:val="auto"/>
        </w:rPr>
        <w:t>13.900</w:t>
      </w:r>
      <w:r w:rsidR="00264A57">
        <w:rPr>
          <w:rFonts w:ascii="Tahoma" w:hAnsi="Tahoma" w:cs="Tahoma"/>
          <w:bCs/>
          <w:color w:val="auto"/>
        </w:rPr>
        <w:t xml:space="preserve"> millones</w:t>
      </w:r>
      <w:r w:rsidR="00EA27E3">
        <w:rPr>
          <w:rFonts w:ascii="Tahoma" w:hAnsi="Tahoma" w:cs="Tahoma"/>
          <w:bCs/>
          <w:color w:val="auto"/>
        </w:rPr>
        <w:t xml:space="preserve"> y deuda Pública </w:t>
      </w:r>
      <w:r w:rsidR="008F01DE">
        <w:rPr>
          <w:rFonts w:ascii="Tahoma" w:hAnsi="Tahoma" w:cs="Tahoma"/>
          <w:bCs/>
          <w:color w:val="auto"/>
        </w:rPr>
        <w:t>239</w:t>
      </w:r>
      <w:r w:rsidR="00EA27E3">
        <w:rPr>
          <w:rFonts w:ascii="Tahoma" w:hAnsi="Tahoma" w:cs="Tahoma"/>
          <w:bCs/>
          <w:color w:val="auto"/>
        </w:rPr>
        <w:t xml:space="preserve"> millones</w:t>
      </w:r>
      <w:r w:rsidR="006A72BA">
        <w:rPr>
          <w:rFonts w:ascii="Tahoma" w:hAnsi="Tahoma" w:cs="Tahoma"/>
          <w:bCs/>
          <w:color w:val="auto"/>
        </w:rPr>
        <w:t>.</w:t>
      </w:r>
      <w:r w:rsidR="00C01693">
        <w:rPr>
          <w:rFonts w:ascii="Tahoma" w:hAnsi="Tahoma" w:cs="Tahoma"/>
          <w:bCs/>
          <w:color w:val="auto"/>
        </w:rPr>
        <w:t xml:space="preserve">  </w:t>
      </w:r>
      <w:r w:rsidR="003A4812">
        <w:rPr>
          <w:rFonts w:ascii="Tahoma" w:hAnsi="Tahoma" w:cs="Tahoma"/>
          <w:bCs/>
          <w:color w:val="auto"/>
        </w:rPr>
        <w:t>V</w:t>
      </w:r>
      <w:r w:rsidR="004F38FE">
        <w:rPr>
          <w:rFonts w:ascii="Tahoma" w:hAnsi="Tahoma" w:cs="Tahoma"/>
          <w:bCs/>
          <w:color w:val="auto"/>
        </w:rPr>
        <w:t>er tabla.</w:t>
      </w:r>
    </w:p>
    <w:p w:rsidR="008956AB" w:rsidRDefault="008956AB" w:rsidP="00C01693">
      <w:pPr>
        <w:spacing w:before="0" w:after="0"/>
        <w:jc w:val="both"/>
        <w:rPr>
          <w:rFonts w:ascii="Tahoma" w:hAnsi="Tahoma" w:cs="Tahoma"/>
          <w:bCs/>
          <w:color w:val="auto"/>
        </w:rPr>
      </w:pPr>
    </w:p>
    <w:p w:rsidR="004F38FE" w:rsidRDefault="008956AB" w:rsidP="008C11BF">
      <w:pPr>
        <w:spacing w:before="0" w:after="0"/>
        <w:jc w:val="center"/>
        <w:rPr>
          <w:rFonts w:ascii="Tahoma" w:hAnsi="Tahoma" w:cs="Tahoma"/>
          <w:bCs/>
          <w:color w:val="auto"/>
        </w:rPr>
      </w:pPr>
      <w:r w:rsidRPr="008956AB">
        <w:rPr>
          <w:noProof/>
        </w:rPr>
        <w:drawing>
          <wp:inline distT="0" distB="0" distL="0" distR="0" wp14:anchorId="13D0C698" wp14:editId="4B5F6852">
            <wp:extent cx="5612130" cy="2225675"/>
            <wp:effectExtent l="0" t="0" r="7620" b="317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12130" cy="2225675"/>
                    </a:xfrm>
                    <a:prstGeom prst="rect">
                      <a:avLst/>
                    </a:prstGeom>
                  </pic:spPr>
                </pic:pic>
              </a:graphicData>
            </a:graphic>
          </wp:inline>
        </w:drawing>
      </w:r>
    </w:p>
    <w:p w:rsidR="00C01693" w:rsidRPr="00565F73" w:rsidRDefault="00C01693" w:rsidP="00C01693">
      <w:pPr>
        <w:spacing w:before="0" w:after="0"/>
        <w:jc w:val="both"/>
        <w:rPr>
          <w:rFonts w:ascii="Tahoma" w:hAnsi="Tahoma" w:cs="Tahoma"/>
          <w:bCs/>
          <w:color w:val="auto"/>
          <w:sz w:val="14"/>
        </w:rPr>
      </w:pPr>
    </w:p>
    <w:p w:rsidR="005D655F" w:rsidRDefault="005D655F" w:rsidP="001D6862">
      <w:pPr>
        <w:spacing w:before="0" w:after="0"/>
        <w:jc w:val="both"/>
        <w:rPr>
          <w:rFonts w:ascii="Tahoma" w:hAnsi="Tahoma" w:cs="Tahoma"/>
          <w:bCs/>
          <w:color w:val="auto"/>
        </w:rPr>
      </w:pPr>
    </w:p>
    <w:p w:rsidR="008956AB" w:rsidRDefault="008956AB" w:rsidP="001D6862">
      <w:pPr>
        <w:spacing w:before="0" w:after="0"/>
        <w:jc w:val="both"/>
        <w:rPr>
          <w:rFonts w:ascii="Tahoma" w:hAnsi="Tahoma" w:cs="Tahoma"/>
          <w:bCs/>
          <w:color w:val="auto"/>
        </w:rPr>
      </w:pP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524E1D" w:rsidRPr="00E924E2" w:rsidRDefault="00524E1D" w:rsidP="001D6862">
      <w:pPr>
        <w:spacing w:before="0" w:after="0"/>
        <w:rPr>
          <w:rFonts w:ascii="Tahoma" w:hAnsi="Tahoma" w:cs="Tahoma"/>
          <w:b/>
        </w:rPr>
      </w:pP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EE23CA" w:rsidRDefault="00EE23CA" w:rsidP="00E56795">
      <w:pPr>
        <w:spacing w:before="0" w:after="0"/>
        <w:jc w:val="both"/>
      </w:pPr>
    </w:p>
    <w:p w:rsidR="00E56795" w:rsidRPr="00741448" w:rsidRDefault="00B24EC6" w:rsidP="00E56795">
      <w:pPr>
        <w:spacing w:before="0" w:after="0"/>
        <w:jc w:val="both"/>
      </w:pPr>
      <w:r>
        <w:t xml:space="preserve">El Municipio de </w:t>
      </w:r>
      <w:r w:rsidR="00BD0A7B">
        <w:t>Coello</w:t>
      </w:r>
      <w:r w:rsidR="00C47D9E">
        <w:t xml:space="preserve"> 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w:t>
      </w:r>
      <w:r w:rsidR="00E56795">
        <w:t xml:space="preserve"> </w:t>
      </w:r>
      <w:r w:rsidR="00E56795" w:rsidRPr="00741448">
        <w:t xml:space="preserve">según lo establecido en la Ley 617 de 2000.  </w:t>
      </w: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EE23CA" w:rsidRDefault="00EE23CA" w:rsidP="00741448">
      <w:pPr>
        <w:pStyle w:val="NormalWeb"/>
        <w:spacing w:before="0" w:beforeAutospacing="0" w:after="0" w:afterAutospacing="0"/>
        <w:rPr>
          <w:rFonts w:ascii="Tahoma" w:hAnsi="Tahoma" w:cs="Tahoma"/>
          <w:b/>
          <w:sz w:val="22"/>
          <w:szCs w:val="22"/>
        </w:rPr>
      </w:pPr>
    </w:p>
    <w:p w:rsidR="00524E1D"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Gastos de Funcionamiento / Ingresos Corriente Libre Destinación </w:t>
      </w:r>
    </w:p>
    <w:p w:rsidR="00515066" w:rsidRDefault="00515066" w:rsidP="00741448">
      <w:pPr>
        <w:pStyle w:val="NormalWeb"/>
        <w:spacing w:before="0" w:beforeAutospacing="0" w:after="0" w:afterAutospacing="0"/>
        <w:rPr>
          <w:rFonts w:ascii="Tahoma" w:hAnsi="Tahoma" w:cs="Tahoma"/>
          <w:b/>
          <w:sz w:val="22"/>
          <w:szCs w:val="22"/>
        </w:rPr>
      </w:pPr>
    </w:p>
    <w:p w:rsidR="00515066" w:rsidRPr="00515066" w:rsidRDefault="00515066" w:rsidP="00515066">
      <w:pPr>
        <w:shd w:val="clear" w:color="auto" w:fill="EAF5FF"/>
        <w:spacing w:before="0" w:after="0"/>
        <w:jc w:val="center"/>
        <w:rPr>
          <w:rFonts w:eastAsia="Times New Roman"/>
          <w:sz w:val="20"/>
          <w:szCs w:val="20"/>
        </w:rPr>
      </w:pPr>
      <w:r w:rsidRPr="00515066">
        <w:rPr>
          <w:rFonts w:eastAsia="Times New Roman"/>
          <w:b/>
          <w:bCs/>
          <w:sz w:val="20"/>
          <w:szCs w:val="20"/>
        </w:rPr>
        <w:t>CONTRALORÍA GENERAL DE LA REPÚBLICA</w:t>
      </w:r>
    </w:p>
    <w:p w:rsidR="00515066" w:rsidRPr="00515066" w:rsidRDefault="00515066" w:rsidP="00515066">
      <w:pPr>
        <w:shd w:val="clear" w:color="auto" w:fill="EAF5FF"/>
        <w:spacing w:before="0" w:after="0"/>
        <w:jc w:val="center"/>
        <w:rPr>
          <w:rFonts w:eastAsia="Times New Roman"/>
          <w:sz w:val="20"/>
          <w:szCs w:val="20"/>
        </w:rPr>
      </w:pPr>
      <w:r w:rsidRPr="00515066">
        <w:rPr>
          <w:rFonts w:eastAsia="Times New Roman"/>
          <w:b/>
          <w:bCs/>
          <w:sz w:val="20"/>
          <w:szCs w:val="20"/>
        </w:rPr>
        <w:t>CONTRALORÍA DELEGADA PARA ECONOMÍA Y FINANZAS PÚBLICAS</w:t>
      </w:r>
    </w:p>
    <w:p w:rsidR="00515066" w:rsidRPr="00515066" w:rsidRDefault="00515066" w:rsidP="00515066">
      <w:pPr>
        <w:shd w:val="clear" w:color="auto" w:fill="EAF5FF"/>
        <w:spacing w:before="0" w:after="0"/>
        <w:jc w:val="center"/>
        <w:rPr>
          <w:rFonts w:eastAsia="Times New Roman"/>
          <w:sz w:val="20"/>
          <w:szCs w:val="20"/>
        </w:rPr>
      </w:pPr>
      <w:r w:rsidRPr="00515066">
        <w:rPr>
          <w:rFonts w:eastAsia="Times New Roman"/>
          <w:b/>
          <w:bCs/>
          <w:sz w:val="20"/>
          <w:szCs w:val="20"/>
        </w:rPr>
        <w:t>DIRECCIÓN DE CUENTAS Y ESTADÍSTICAS FISCALES</w:t>
      </w:r>
    </w:p>
    <w:p w:rsidR="00515066" w:rsidRPr="00515066" w:rsidRDefault="00224198" w:rsidP="00515066">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noshade="t" o:hr="t" fillcolor="black" stroked="f"/>
        </w:pict>
      </w:r>
    </w:p>
    <w:p w:rsidR="00515066" w:rsidRPr="00515066" w:rsidRDefault="00515066" w:rsidP="00515066">
      <w:pPr>
        <w:shd w:val="clear" w:color="auto" w:fill="EAF5FF"/>
        <w:spacing w:before="0" w:after="0"/>
        <w:jc w:val="center"/>
        <w:rPr>
          <w:rFonts w:eastAsia="Times New Roman"/>
          <w:sz w:val="20"/>
          <w:szCs w:val="20"/>
        </w:rPr>
      </w:pPr>
      <w:r w:rsidRPr="00515066">
        <w:rPr>
          <w:rFonts w:eastAsia="Times New Roman"/>
          <w:b/>
          <w:bCs/>
          <w:sz w:val="20"/>
          <w:szCs w:val="20"/>
        </w:rPr>
        <w:t>CONSULTA DATOS CERTIFICACIÓN LEY 617/00</w:t>
      </w:r>
    </w:p>
    <w:tbl>
      <w:tblPr>
        <w:tblW w:w="8400"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515066" w:rsidRPr="00515066" w:rsidTr="00515066">
        <w:trPr>
          <w:tblCellSpacing w:w="15" w:type="dxa"/>
          <w:jc w:val="center"/>
        </w:trPr>
        <w:tc>
          <w:tcPr>
            <w:tcW w:w="0" w:type="auto"/>
            <w:shd w:val="clear" w:color="auto" w:fill="EAF5FF"/>
            <w:vAlign w:val="center"/>
            <w:hideMark/>
          </w:tcPr>
          <w:p w:rsidR="00515066" w:rsidRPr="00515066" w:rsidRDefault="00515066" w:rsidP="00515066">
            <w:pPr>
              <w:spacing w:before="0" w:after="0"/>
              <w:rPr>
                <w:rFonts w:eastAsia="Times New Roman"/>
                <w:color w:val="auto"/>
                <w:sz w:val="18"/>
                <w:szCs w:val="18"/>
              </w:rPr>
            </w:pPr>
          </w:p>
        </w:tc>
      </w:tr>
      <w:tr w:rsidR="00515066" w:rsidRPr="00515066" w:rsidTr="00515066">
        <w:trPr>
          <w:tblCellSpacing w:w="15" w:type="dxa"/>
          <w:jc w:val="center"/>
        </w:trPr>
        <w:tc>
          <w:tcPr>
            <w:tcW w:w="0" w:type="auto"/>
            <w:shd w:val="clear" w:color="auto" w:fill="EAF5FF"/>
            <w:vAlign w:val="center"/>
            <w:hideMark/>
          </w:tcPr>
          <w:p w:rsidR="00515066" w:rsidRPr="00515066" w:rsidRDefault="00515066" w:rsidP="00515066">
            <w:pPr>
              <w:spacing w:before="0" w:after="0"/>
              <w:rPr>
                <w:rFonts w:eastAsia="Times New Roman"/>
                <w:color w:val="auto"/>
                <w:sz w:val="18"/>
                <w:szCs w:val="18"/>
              </w:rPr>
            </w:pPr>
          </w:p>
        </w:tc>
      </w:tr>
      <w:tr w:rsidR="00515066" w:rsidRPr="00515066" w:rsidTr="00515066">
        <w:trPr>
          <w:tblCellSpacing w:w="15" w:type="dxa"/>
          <w:jc w:val="center"/>
        </w:trPr>
        <w:tc>
          <w:tcPr>
            <w:tcW w:w="0" w:type="auto"/>
            <w:shd w:val="clear" w:color="auto" w:fill="EAF5FF"/>
            <w:vAlign w:val="center"/>
            <w:hideMark/>
          </w:tcPr>
          <w:p w:rsidR="00515066" w:rsidRPr="00515066" w:rsidRDefault="00515066" w:rsidP="00515066">
            <w:pPr>
              <w:spacing w:before="0" w:after="0"/>
              <w:rPr>
                <w:rFonts w:eastAsia="Times New Roman"/>
                <w:color w:val="auto"/>
                <w:sz w:val="18"/>
                <w:szCs w:val="18"/>
              </w:rPr>
            </w:pPr>
          </w:p>
        </w:tc>
      </w:tr>
      <w:tr w:rsidR="00515066" w:rsidRPr="00515066" w:rsidTr="00515066">
        <w:trPr>
          <w:tblCellSpacing w:w="15" w:type="dxa"/>
          <w:jc w:val="center"/>
        </w:trPr>
        <w:tc>
          <w:tcPr>
            <w:tcW w:w="0" w:type="auto"/>
            <w:shd w:val="clear" w:color="auto" w:fill="EAF5FF"/>
            <w:vAlign w:val="center"/>
            <w:hideMark/>
          </w:tcPr>
          <w:p w:rsidR="00515066" w:rsidRPr="00515066" w:rsidRDefault="00515066" w:rsidP="00515066">
            <w:pPr>
              <w:spacing w:before="0" w:after="0"/>
              <w:rPr>
                <w:rFonts w:eastAsia="Times New Roman"/>
                <w:color w:val="auto"/>
                <w:sz w:val="18"/>
                <w:szCs w:val="18"/>
              </w:rPr>
            </w:pPr>
          </w:p>
        </w:tc>
      </w:tr>
      <w:tr w:rsidR="00515066" w:rsidRPr="00515066" w:rsidTr="00515066">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515066" w:rsidRPr="0051506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TOLIMA</w:t>
                  </w:r>
                </w:p>
              </w:tc>
            </w:tr>
            <w:tr w:rsidR="00515066" w:rsidRPr="0051506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210073200 - COELLO</w:t>
                  </w:r>
                </w:p>
              </w:tc>
            </w:tr>
            <w:tr w:rsidR="00515066" w:rsidRPr="0051506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2015</w:t>
                  </w:r>
                </w:p>
              </w:tc>
            </w:tr>
            <w:tr w:rsidR="00515066" w:rsidRPr="0051506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Sexta</w:t>
                  </w:r>
                </w:p>
              </w:tc>
            </w:tr>
            <w:tr w:rsidR="00515066" w:rsidRPr="0051506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80%</w:t>
                  </w:r>
                </w:p>
              </w:tc>
            </w:tr>
            <w:tr w:rsidR="00515066" w:rsidRPr="0051506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Procede la Certificación de la Entidad.</w:t>
                  </w:r>
                </w:p>
              </w:tc>
            </w:tr>
          </w:tbl>
          <w:p w:rsidR="00515066" w:rsidRPr="00515066" w:rsidRDefault="00515066" w:rsidP="00515066">
            <w:pPr>
              <w:spacing w:before="0" w:after="0"/>
              <w:jc w:val="center"/>
              <w:rPr>
                <w:rFonts w:eastAsia="Times New Roman"/>
                <w:color w:val="auto"/>
                <w:sz w:val="18"/>
                <w:szCs w:val="18"/>
              </w:rPr>
            </w:pPr>
          </w:p>
        </w:tc>
      </w:tr>
      <w:tr w:rsidR="00515066" w:rsidRPr="00515066" w:rsidTr="00515066">
        <w:trPr>
          <w:tblCellSpacing w:w="15" w:type="dxa"/>
          <w:jc w:val="center"/>
        </w:trPr>
        <w:tc>
          <w:tcPr>
            <w:tcW w:w="0" w:type="auto"/>
            <w:shd w:val="clear" w:color="auto" w:fill="EAF5FF"/>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Ingresos Corrientes de Libre Destinación (ICLD)</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90"/>
              <w:gridCol w:w="4546"/>
              <w:gridCol w:w="1964"/>
            </w:tblGrid>
            <w:tr w:rsidR="00515066" w:rsidRPr="00515066">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15066" w:rsidRPr="00515066" w:rsidRDefault="00515066" w:rsidP="00515066">
                  <w:pPr>
                    <w:spacing w:before="0" w:after="0"/>
                    <w:rPr>
                      <w:rFonts w:eastAsia="Times New Roman"/>
                      <w:color w:val="auto"/>
                      <w:sz w:val="18"/>
                      <w:szCs w:val="18"/>
                    </w:rPr>
                  </w:pPr>
                </w:p>
              </w:tc>
            </w:tr>
            <w:tr w:rsidR="00515066" w:rsidRPr="00515066">
              <w:trPr>
                <w:tblCellSpacing w:w="6" w:type="dxa"/>
                <w:jc w:val="center"/>
              </w:trPr>
              <w:tc>
                <w:tcPr>
                  <w:tcW w:w="1200" w:type="dxa"/>
                  <w:tcBorders>
                    <w:top w:val="outset" w:sz="6" w:space="0" w:color="auto"/>
                    <w:left w:val="outset" w:sz="6" w:space="0" w:color="auto"/>
                    <w:bottom w:val="outset" w:sz="6" w:space="0" w:color="auto"/>
                    <w:right w:val="outset" w:sz="6" w:space="0" w:color="auto"/>
                  </w:tcBorders>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Ejecución (Miles de Pesos)</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425.251</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1.038.811</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78.055</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1.1.01.02.51.01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proofErr w:type="spellStart"/>
                  <w:r w:rsidRPr="00515066">
                    <w:rPr>
                      <w:rFonts w:eastAsia="Times New Roman"/>
                      <w:color w:val="auto"/>
                      <w:sz w:val="18"/>
                      <w:szCs w:val="18"/>
                    </w:rPr>
                    <w:t>Espectaculos</w:t>
                  </w:r>
                  <w:proofErr w:type="spellEnd"/>
                  <w:r w:rsidRPr="00515066">
                    <w:rPr>
                      <w:rFonts w:eastAsia="Times New Roman"/>
                      <w:color w:val="auto"/>
                      <w:sz w:val="18"/>
                      <w:szCs w:val="18"/>
                    </w:rPr>
                    <w:t xml:space="preserve"> Públicos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43</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682.287</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1.1.02.01.01.35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Tasa por Ocupación de Vías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83</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1.1.02.01.01.39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Arrendamientos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8.449</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1.1.02.01.01.41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Alquiler de Maquinaria y Equipo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4.736</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lastRenderedPageBreak/>
                    <w:t>1.1.02.01.01.98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Otras Tasas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36</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1.1.02.01.03.15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Intereses moratorios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100.032</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1.1.02.01.03.98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Otras Multas y Sanciones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23.256</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1.091.930</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1.1.02.02.01.03.01.01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De Vehículos Automotores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3.433</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1.1.02.98.98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Otros Ingresos No Tributarios no especificados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19.393</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b/>
                      <w:bCs/>
                      <w:color w:val="auto"/>
                      <w:sz w:val="18"/>
                      <w:szCs w:val="18"/>
                    </w:rPr>
                    <w:t>3.475.795</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b/>
                      <w:bCs/>
                      <w:color w:val="auto"/>
                      <w:sz w:val="18"/>
                      <w:szCs w:val="18"/>
                    </w:rPr>
                    <w:t>3.475.795</w:t>
                  </w:r>
                </w:p>
              </w:tc>
            </w:tr>
          </w:tbl>
          <w:p w:rsidR="00515066" w:rsidRPr="00515066" w:rsidRDefault="00515066" w:rsidP="00515066">
            <w:pPr>
              <w:spacing w:before="0" w:after="0"/>
              <w:jc w:val="center"/>
              <w:rPr>
                <w:rFonts w:eastAsia="Times New Roman"/>
                <w:color w:val="auto"/>
                <w:sz w:val="18"/>
                <w:szCs w:val="18"/>
              </w:rPr>
            </w:pPr>
          </w:p>
        </w:tc>
      </w:tr>
      <w:tr w:rsidR="00515066" w:rsidRPr="00515066" w:rsidTr="00515066">
        <w:trPr>
          <w:tblCellSpacing w:w="15" w:type="dxa"/>
          <w:jc w:val="center"/>
        </w:trPr>
        <w:tc>
          <w:tcPr>
            <w:tcW w:w="0" w:type="auto"/>
            <w:shd w:val="clear" w:color="auto" w:fill="EAF5FF"/>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lastRenderedPageBreak/>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515066" w:rsidRPr="00515066">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15066" w:rsidRPr="00515066" w:rsidRDefault="00515066" w:rsidP="00515066">
                  <w:pPr>
                    <w:spacing w:before="0" w:after="0"/>
                    <w:rPr>
                      <w:rFonts w:eastAsia="Times New Roman"/>
                      <w:color w:val="auto"/>
                      <w:sz w:val="18"/>
                      <w:szCs w:val="18"/>
                    </w:rPr>
                  </w:pPr>
                </w:p>
              </w:tc>
            </w:tr>
            <w:tr w:rsidR="00515066" w:rsidRPr="00515066">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Ejecución (Miles de Pesos)</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870.048</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421.281</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color w:val="auto"/>
                      <w:sz w:val="18"/>
                      <w:szCs w:val="18"/>
                    </w:rPr>
                    <w:t>386.000</w:t>
                  </w:r>
                </w:p>
              </w:tc>
            </w:tr>
            <w:tr w:rsidR="00515066" w:rsidRPr="00515066">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rPr>
                      <w:rFonts w:eastAsia="Times New Roman"/>
                      <w:color w:val="auto"/>
                      <w:sz w:val="18"/>
                      <w:szCs w:val="18"/>
                    </w:rPr>
                  </w:pPr>
                  <w:r w:rsidRPr="00515066">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b/>
                      <w:bCs/>
                      <w:color w:val="auto"/>
                      <w:sz w:val="18"/>
                      <w:szCs w:val="18"/>
                    </w:rPr>
                    <w:t>1.677.329</w:t>
                  </w:r>
                </w:p>
              </w:tc>
            </w:tr>
          </w:tbl>
          <w:p w:rsidR="00515066" w:rsidRPr="00515066" w:rsidRDefault="00515066" w:rsidP="00515066">
            <w:pPr>
              <w:spacing w:before="0" w:after="0"/>
              <w:jc w:val="center"/>
              <w:rPr>
                <w:rFonts w:eastAsia="Times New Roman"/>
                <w:color w:val="auto"/>
                <w:sz w:val="18"/>
                <w:szCs w:val="18"/>
              </w:rPr>
            </w:pPr>
          </w:p>
        </w:tc>
      </w:tr>
      <w:tr w:rsidR="00515066" w:rsidRPr="00515066" w:rsidTr="00515066">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29"/>
              <w:gridCol w:w="1171"/>
            </w:tblGrid>
            <w:tr w:rsidR="00515066" w:rsidRPr="0051506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center"/>
                    <w:rPr>
                      <w:rFonts w:eastAsia="Times New Roman"/>
                      <w:color w:val="auto"/>
                      <w:sz w:val="18"/>
                      <w:szCs w:val="18"/>
                    </w:rPr>
                  </w:pPr>
                  <w:r w:rsidRPr="00515066">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b/>
                      <w:bCs/>
                      <w:color w:val="auto"/>
                      <w:sz w:val="18"/>
                      <w:szCs w:val="18"/>
                    </w:rPr>
                    <w:t>48,26%</w:t>
                  </w:r>
                </w:p>
              </w:tc>
            </w:tr>
            <w:tr w:rsidR="00515066" w:rsidRPr="00515066">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center"/>
                    <w:rPr>
                      <w:rFonts w:eastAsia="Times New Roman"/>
                      <w:color w:val="auto"/>
                      <w:sz w:val="18"/>
                      <w:szCs w:val="18"/>
                    </w:rPr>
                  </w:pPr>
                  <w:proofErr w:type="spellStart"/>
                  <w:r w:rsidRPr="00515066">
                    <w:rPr>
                      <w:rFonts w:eastAsia="Times New Roman"/>
                      <w:b/>
                      <w:bCs/>
                      <w:color w:val="auto"/>
                      <w:sz w:val="18"/>
                      <w:szCs w:val="18"/>
                    </w:rPr>
                    <w:t>Limte</w:t>
                  </w:r>
                  <w:proofErr w:type="spellEnd"/>
                  <w:r w:rsidRPr="00515066">
                    <w:rPr>
                      <w:rFonts w:eastAsia="Times New Roman"/>
                      <w:b/>
                      <w:bCs/>
                      <w:color w:val="auto"/>
                      <w:sz w:val="18"/>
                      <w:szCs w:val="18"/>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515066" w:rsidRPr="00515066" w:rsidRDefault="00515066" w:rsidP="00515066">
                  <w:pPr>
                    <w:spacing w:before="0" w:after="0"/>
                    <w:jc w:val="right"/>
                    <w:rPr>
                      <w:rFonts w:eastAsia="Times New Roman"/>
                      <w:color w:val="auto"/>
                      <w:sz w:val="18"/>
                      <w:szCs w:val="18"/>
                    </w:rPr>
                  </w:pPr>
                  <w:r w:rsidRPr="00515066">
                    <w:rPr>
                      <w:rFonts w:eastAsia="Times New Roman"/>
                      <w:b/>
                      <w:bCs/>
                      <w:color w:val="auto"/>
                      <w:sz w:val="18"/>
                      <w:szCs w:val="18"/>
                    </w:rPr>
                    <w:t>31,74%</w:t>
                  </w:r>
                </w:p>
              </w:tc>
            </w:tr>
          </w:tbl>
          <w:p w:rsidR="00515066" w:rsidRPr="00515066" w:rsidRDefault="00515066" w:rsidP="00515066">
            <w:pPr>
              <w:spacing w:before="0" w:after="0"/>
              <w:jc w:val="center"/>
              <w:rPr>
                <w:rFonts w:eastAsia="Times New Roman"/>
                <w:color w:val="auto"/>
                <w:sz w:val="18"/>
                <w:szCs w:val="18"/>
              </w:rPr>
            </w:pPr>
          </w:p>
        </w:tc>
      </w:tr>
    </w:tbl>
    <w:p w:rsidR="00515066" w:rsidRDefault="00515066" w:rsidP="00AC2164">
      <w:pPr>
        <w:spacing w:before="0" w:after="0"/>
        <w:rPr>
          <w:rFonts w:eastAsia="Times New Roman"/>
          <w:color w:val="auto"/>
          <w:sz w:val="18"/>
          <w:szCs w:val="18"/>
        </w:rPr>
      </w:pPr>
    </w:p>
    <w:p w:rsidR="005F5D93" w:rsidRPr="00AC2164"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3C703A" w:rsidRDefault="003C703A" w:rsidP="00AC2164">
      <w:pPr>
        <w:pStyle w:val="Ttulo2"/>
        <w:jc w:val="both"/>
        <w:rPr>
          <w:rFonts w:ascii="Tahoma" w:hAnsi="Tahoma" w:cs="Tahoma"/>
          <w:b w:val="0"/>
          <w:sz w:val="22"/>
          <w:lang w:val="es-CO"/>
        </w:rPr>
      </w:pPr>
    </w:p>
    <w:p w:rsidR="008762C3" w:rsidRDefault="008762C3" w:rsidP="008762C3">
      <w:pPr>
        <w:pStyle w:val="Ttulo2"/>
        <w:jc w:val="both"/>
        <w:rPr>
          <w:rFonts w:ascii="Tahoma" w:hAnsi="Tahoma" w:cs="Tahoma"/>
          <w:b w:val="0"/>
          <w:sz w:val="22"/>
          <w:lang w:val="es-CO"/>
        </w:rPr>
      </w:pPr>
      <w:r>
        <w:rPr>
          <w:rFonts w:ascii="Tahoma" w:hAnsi="Tahoma" w:cs="Tahoma"/>
          <w:b w:val="0"/>
          <w:sz w:val="22"/>
          <w:lang w:val="es-CO"/>
        </w:rPr>
        <w:t xml:space="preserve">Teniendo en cuenta la certificación de Ingresos corrientes de Libre Destinación expedida por la Contraloría General de la República y la Ejecución presupuestal de Ingresos y Gastos, se evidenció que el Municipio de </w:t>
      </w:r>
      <w:r w:rsidR="00515066">
        <w:rPr>
          <w:rFonts w:ascii="Tahoma" w:hAnsi="Tahoma" w:cs="Tahoma"/>
          <w:b w:val="0"/>
          <w:sz w:val="22"/>
          <w:lang w:val="es-CO"/>
        </w:rPr>
        <w:t>Coello</w:t>
      </w:r>
      <w:r>
        <w:rPr>
          <w:rFonts w:ascii="Tahoma" w:hAnsi="Tahoma" w:cs="Tahoma"/>
          <w:b w:val="0"/>
          <w:sz w:val="22"/>
          <w:lang w:val="es-CO"/>
        </w:rPr>
        <w:t xml:space="preserve">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del </w:t>
      </w:r>
      <w:r w:rsidR="00515066">
        <w:rPr>
          <w:rFonts w:ascii="Tahoma" w:hAnsi="Tahoma" w:cs="Tahoma"/>
          <w:b w:val="0"/>
          <w:sz w:val="22"/>
          <w:lang w:val="es-CO"/>
        </w:rPr>
        <w:t>48.26</w:t>
      </w:r>
      <w:r w:rsidRPr="008762C3">
        <w:rPr>
          <w:rFonts w:ascii="Tahoma" w:hAnsi="Tahoma" w:cs="Tahoma"/>
          <w:sz w:val="22"/>
          <w:lang w:val="es-CO"/>
        </w:rPr>
        <w:t>%</w:t>
      </w:r>
      <w:r>
        <w:rPr>
          <w:rFonts w:ascii="Tahoma" w:hAnsi="Tahoma" w:cs="Tahoma"/>
          <w:b w:val="0"/>
          <w:sz w:val="22"/>
          <w:lang w:val="es-CO"/>
        </w:rPr>
        <w:t xml:space="preserve"> dónde el límite máximo es del 80%.</w:t>
      </w:r>
    </w:p>
    <w:p w:rsidR="008762C3" w:rsidRDefault="008762C3" w:rsidP="004B7B3F">
      <w:pPr>
        <w:spacing w:before="0" w:after="0"/>
        <w:jc w:val="both"/>
        <w:rPr>
          <w:rFonts w:ascii="Tahoma" w:eastAsia="Times New Roman" w:hAnsi="Tahoma" w:cs="Tahoma"/>
          <w:b/>
          <w:bCs/>
          <w:color w:val="auto"/>
        </w:rPr>
      </w:pPr>
    </w:p>
    <w:p w:rsidR="004B7B3F" w:rsidRPr="00163FB1" w:rsidRDefault="00E15E67" w:rsidP="004B7B3F">
      <w:pPr>
        <w:spacing w:before="0" w:after="0"/>
        <w:jc w:val="both"/>
        <w:rPr>
          <w:rFonts w:ascii="Tahoma" w:eastAsia="Times New Roman" w:hAnsi="Tahoma" w:cs="Tahoma"/>
          <w:b/>
          <w:bCs/>
          <w:color w:val="auto"/>
        </w:rPr>
      </w:pPr>
      <w:r w:rsidRPr="00163FB1">
        <w:rPr>
          <w:rFonts w:ascii="Tahoma" w:eastAsia="Times New Roman" w:hAnsi="Tahoma" w:cs="Tahoma"/>
          <w:b/>
          <w:bCs/>
          <w:color w:val="auto"/>
        </w:rPr>
        <w:t xml:space="preserve">GASTOS DE LAS CORPORACIONES </w:t>
      </w:r>
      <w:r w:rsidR="005F4A02" w:rsidRPr="00163FB1">
        <w:rPr>
          <w:rFonts w:ascii="Tahoma" w:eastAsia="Times New Roman" w:hAnsi="Tahoma" w:cs="Tahoma"/>
          <w:b/>
          <w:bCs/>
          <w:color w:val="auto"/>
        </w:rPr>
        <w:t>PÚBLICAS</w:t>
      </w:r>
      <w:r w:rsidRPr="00163FB1">
        <w:rPr>
          <w:rFonts w:ascii="Tahoma" w:eastAsia="Times New Roman" w:hAnsi="Tahoma" w:cs="Tahoma"/>
          <w:b/>
          <w:bCs/>
          <w:color w:val="auto"/>
        </w:rPr>
        <w:t xml:space="preserve"> – CONCEJO MUNICIPAL</w:t>
      </w:r>
    </w:p>
    <w:p w:rsidR="00E15E67" w:rsidRPr="00163FB1" w:rsidRDefault="00E15E67" w:rsidP="004B7B3F">
      <w:pPr>
        <w:spacing w:before="0" w:after="0"/>
        <w:jc w:val="both"/>
        <w:rPr>
          <w:rFonts w:ascii="Tahoma" w:eastAsia="Times New Roman" w:hAnsi="Tahoma" w:cs="Tahoma"/>
          <w:b/>
          <w:bCs/>
          <w:color w:val="auto"/>
        </w:rPr>
      </w:pPr>
    </w:p>
    <w:p w:rsidR="00E15E67" w:rsidRDefault="00E15E67" w:rsidP="004B7B3F">
      <w:pPr>
        <w:spacing w:before="0" w:after="0"/>
        <w:jc w:val="both"/>
        <w:rPr>
          <w:rFonts w:ascii="Tahoma" w:hAnsi="Tahoma" w:cs="Tahoma"/>
        </w:rPr>
      </w:pPr>
      <w:r w:rsidRPr="00163FB1">
        <w:rPr>
          <w:rFonts w:ascii="Tahoma" w:eastAsia="Times New Roman" w:hAnsi="Tahoma" w:cs="Tahoma"/>
          <w:bCs/>
          <w:color w:val="auto"/>
        </w:rPr>
        <w:t xml:space="preserve">El </w:t>
      </w:r>
      <w:r w:rsidR="00C86CA5" w:rsidRPr="00163FB1">
        <w:rPr>
          <w:rFonts w:ascii="Tahoma" w:eastAsia="Times New Roman" w:hAnsi="Tahoma" w:cs="Tahoma"/>
          <w:bCs/>
          <w:color w:val="auto"/>
        </w:rPr>
        <w:t>ente Territorial</w:t>
      </w:r>
      <w:r w:rsidRPr="00163FB1">
        <w:rPr>
          <w:rFonts w:ascii="Tahoma" w:eastAsia="Times New Roman" w:hAnsi="Tahoma" w:cs="Tahoma"/>
          <w:bCs/>
          <w:color w:val="auto"/>
        </w:rPr>
        <w:t xml:space="preserve"> para la vigencia 2015, le transfirió al Concejo Municipal la suma de $</w:t>
      </w:r>
      <w:r w:rsidR="00DD69A0" w:rsidRPr="00163FB1">
        <w:rPr>
          <w:rFonts w:ascii="Tahoma" w:eastAsia="Times New Roman" w:hAnsi="Tahoma" w:cs="Tahoma"/>
          <w:bCs/>
          <w:color w:val="auto"/>
        </w:rPr>
        <w:t>1</w:t>
      </w:r>
      <w:r w:rsidR="00067E63">
        <w:rPr>
          <w:rFonts w:ascii="Tahoma" w:eastAsia="Times New Roman" w:hAnsi="Tahoma" w:cs="Tahoma"/>
          <w:bCs/>
          <w:color w:val="auto"/>
        </w:rPr>
        <w:t>30</w:t>
      </w:r>
      <w:r w:rsidR="00EE23CA" w:rsidRPr="00163FB1">
        <w:rPr>
          <w:rFonts w:ascii="Tahoma" w:hAnsi="Tahoma" w:cs="Tahoma"/>
          <w:color w:val="auto"/>
        </w:rPr>
        <w:t xml:space="preserve"> millones</w:t>
      </w:r>
      <w:r w:rsidR="005F4A02" w:rsidRPr="00163FB1">
        <w:rPr>
          <w:rFonts w:ascii="Tahoma" w:eastAsia="Times New Roman" w:hAnsi="Tahoma" w:cs="Tahoma"/>
          <w:bCs/>
          <w:color w:val="auto"/>
        </w:rPr>
        <w:t>, de los cuales $</w:t>
      </w:r>
      <w:r w:rsidR="00067E63">
        <w:rPr>
          <w:rFonts w:ascii="Tahoma" w:eastAsia="Times New Roman" w:hAnsi="Tahoma" w:cs="Tahoma"/>
          <w:bCs/>
          <w:color w:val="auto"/>
        </w:rPr>
        <w:t>82</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correspondieron a honorarios de Concejales y $</w:t>
      </w:r>
      <w:r w:rsidR="005F2A16" w:rsidRPr="00163FB1">
        <w:rPr>
          <w:rFonts w:ascii="Tahoma" w:eastAsia="Times New Roman" w:hAnsi="Tahoma" w:cs="Tahoma"/>
          <w:bCs/>
          <w:color w:val="auto"/>
        </w:rPr>
        <w:t>4</w:t>
      </w:r>
      <w:r w:rsidR="00067E63">
        <w:rPr>
          <w:rFonts w:ascii="Tahoma" w:eastAsia="Times New Roman" w:hAnsi="Tahoma" w:cs="Tahoma"/>
          <w:bCs/>
          <w:color w:val="auto"/>
        </w:rPr>
        <w:t>8</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para gastos de funcionamiento</w:t>
      </w:r>
      <w:r w:rsidR="007B5621" w:rsidRPr="00163FB1">
        <w:rPr>
          <w:rFonts w:ascii="Tahoma" w:eastAsia="Times New Roman" w:hAnsi="Tahoma" w:cs="Tahoma"/>
          <w:bCs/>
          <w:color w:val="auto"/>
        </w:rPr>
        <w:t xml:space="preserve">, </w:t>
      </w:r>
      <w:r w:rsidR="00067E63">
        <w:rPr>
          <w:rFonts w:ascii="Tahoma" w:eastAsia="Times New Roman" w:hAnsi="Tahoma" w:cs="Tahoma"/>
          <w:bCs/>
          <w:color w:val="auto"/>
        </w:rPr>
        <w:t xml:space="preserve">por lo tanto </w:t>
      </w:r>
      <w:r w:rsidR="001B475A" w:rsidRPr="00163FB1">
        <w:rPr>
          <w:rFonts w:ascii="Tahoma" w:eastAsia="Times New Roman" w:hAnsi="Tahoma" w:cs="Tahoma"/>
          <w:bCs/>
          <w:color w:val="auto"/>
        </w:rPr>
        <w:t xml:space="preserve">el Municipio de </w:t>
      </w:r>
      <w:r w:rsidR="00067E63">
        <w:rPr>
          <w:rFonts w:ascii="Tahoma" w:eastAsia="Times New Roman" w:hAnsi="Tahoma" w:cs="Tahoma"/>
          <w:bCs/>
          <w:color w:val="auto"/>
        </w:rPr>
        <w:t>COELLO</w:t>
      </w:r>
      <w:r w:rsidR="005F2A16" w:rsidRPr="00163FB1">
        <w:rPr>
          <w:rFonts w:ascii="Tahoma" w:hAnsi="Tahoma" w:cs="Tahoma"/>
        </w:rPr>
        <w:t xml:space="preserve"> </w:t>
      </w:r>
      <w:r w:rsidR="00640913" w:rsidRPr="00163FB1">
        <w:rPr>
          <w:rFonts w:ascii="Tahoma" w:eastAsia="Times New Roman" w:hAnsi="Tahoma" w:cs="Tahoma"/>
          <w:b/>
          <w:bCs/>
          <w:color w:val="auto"/>
          <w:u w:val="single"/>
        </w:rPr>
        <w:t>d</w:t>
      </w:r>
      <w:r w:rsidR="001B475A" w:rsidRPr="00163FB1">
        <w:rPr>
          <w:rFonts w:ascii="Tahoma" w:eastAsia="Times New Roman" w:hAnsi="Tahoma" w:cs="Tahoma"/>
          <w:b/>
          <w:bCs/>
          <w:color w:val="auto"/>
          <w:u w:val="single"/>
        </w:rPr>
        <w:t>io</w:t>
      </w:r>
      <w:r w:rsidR="00640913" w:rsidRPr="00163FB1">
        <w:rPr>
          <w:rFonts w:ascii="Tahoma" w:eastAsia="Times New Roman" w:hAnsi="Tahoma" w:cs="Tahoma"/>
          <w:b/>
          <w:bCs/>
          <w:color w:val="auto"/>
          <w:u w:val="single"/>
        </w:rPr>
        <w:t xml:space="preserve"> </w:t>
      </w:r>
      <w:r w:rsidR="00640913" w:rsidRPr="00163FB1">
        <w:rPr>
          <w:rFonts w:ascii="Tahoma" w:hAnsi="Tahoma" w:cs="Tahoma"/>
          <w:b/>
          <w:u w:val="single"/>
        </w:rPr>
        <w:t>cumplimiento</w:t>
      </w:r>
      <w:r w:rsidR="00640913" w:rsidRPr="00163FB1">
        <w:rPr>
          <w:rFonts w:ascii="Tahoma" w:hAnsi="Tahoma" w:cs="Tahoma"/>
          <w:u w:val="single"/>
        </w:rPr>
        <w:t xml:space="preserve"> </w:t>
      </w:r>
      <w:r w:rsidR="00640913" w:rsidRPr="00163FB1">
        <w:rPr>
          <w:rFonts w:ascii="Tahoma" w:hAnsi="Tahoma" w:cs="Tahoma"/>
        </w:rPr>
        <w:t>a lo establec</w:t>
      </w:r>
      <w:r w:rsidR="00A66750" w:rsidRPr="00163FB1">
        <w:rPr>
          <w:rFonts w:ascii="Tahoma" w:hAnsi="Tahoma" w:cs="Tahoma"/>
        </w:rPr>
        <w:t xml:space="preserve">ido en </w:t>
      </w:r>
      <w:r w:rsidR="00640913" w:rsidRPr="00163FB1">
        <w:rPr>
          <w:rFonts w:ascii="Tahoma" w:hAnsi="Tahoma" w:cs="Tahoma"/>
        </w:rPr>
        <w:t>la Ley 617 de</w:t>
      </w:r>
      <w:r w:rsidR="00C86CA5" w:rsidRPr="00163FB1">
        <w:rPr>
          <w:rFonts w:ascii="Tahoma" w:hAnsi="Tahoma" w:cs="Tahoma"/>
        </w:rPr>
        <w:t xml:space="preserve"> 2000 artículo 10,</w:t>
      </w:r>
      <w:r w:rsidR="005172FE" w:rsidRPr="00163FB1">
        <w:rPr>
          <w:rFonts w:ascii="Tahoma" w:hAnsi="Tahoma" w:cs="Tahoma"/>
        </w:rPr>
        <w:t xml:space="preserve">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763FDB" w:rsidRPr="00163FB1">
        <w:rPr>
          <w:rFonts w:ascii="Tahoma" w:hAnsi="Tahoma" w:cs="Tahoma"/>
        </w:rPr>
        <w:t xml:space="preserve"> Es decir, </w:t>
      </w:r>
      <w:r w:rsidR="001B475A" w:rsidRPr="00163FB1">
        <w:rPr>
          <w:rFonts w:ascii="Tahoma" w:hAnsi="Tahoma" w:cs="Tahoma"/>
        </w:rPr>
        <w:t>l</w:t>
      </w:r>
      <w:r w:rsidR="00763FDB" w:rsidRPr="00163FB1">
        <w:rPr>
          <w:rFonts w:ascii="Tahoma" w:hAnsi="Tahoma" w:cs="Tahoma"/>
        </w:rPr>
        <w:t>a suma de $</w:t>
      </w:r>
      <w:r w:rsidR="00067E63">
        <w:rPr>
          <w:rFonts w:ascii="Tahoma" w:hAnsi="Tahoma" w:cs="Tahoma"/>
        </w:rPr>
        <w:t>52.137.</w:t>
      </w:r>
      <w:r w:rsidR="00163FB1" w:rsidRPr="00163FB1">
        <w:rPr>
          <w:rFonts w:ascii="Tahoma" w:hAnsi="Tahoma" w:cs="Tahoma"/>
        </w:rPr>
        <w:t>000</w:t>
      </w:r>
      <w:r w:rsidR="00763FDB" w:rsidRPr="00163FB1">
        <w:rPr>
          <w:rFonts w:ascii="Tahoma" w:hAnsi="Tahoma" w:cs="Tahoma"/>
        </w:rPr>
        <w:t>.oo</w:t>
      </w:r>
      <w:r w:rsidR="00150875">
        <w:rPr>
          <w:rFonts w:ascii="Tahoma" w:hAnsi="Tahoma" w:cs="Tahoma"/>
        </w:rPr>
        <w:t>.</w:t>
      </w:r>
    </w:p>
    <w:p w:rsidR="00763FDB" w:rsidRDefault="00763FDB" w:rsidP="004B7B3F">
      <w:pPr>
        <w:spacing w:before="0" w:after="0"/>
        <w:jc w:val="both"/>
        <w:rPr>
          <w:rFonts w:ascii="Tahoma" w:hAnsi="Tahoma" w:cs="Tahoma"/>
        </w:rPr>
      </w:pPr>
    </w:p>
    <w:p w:rsidR="00067E63" w:rsidRDefault="00067E63" w:rsidP="004B7B3F">
      <w:pPr>
        <w:spacing w:before="0" w:after="0"/>
        <w:jc w:val="both"/>
        <w:rPr>
          <w:rFonts w:ascii="Tahoma" w:hAnsi="Tahoma" w:cs="Tahoma"/>
        </w:rPr>
      </w:pPr>
    </w:p>
    <w:p w:rsidR="00163FB1" w:rsidRDefault="00163FB1" w:rsidP="004B7B3F">
      <w:pPr>
        <w:spacing w:before="0" w:after="0"/>
        <w:jc w:val="both"/>
        <w:rPr>
          <w:rFonts w:ascii="Tahoma" w:eastAsia="Times New Roman" w:hAnsi="Tahoma" w:cs="Tahoma"/>
          <w:b/>
          <w:bCs/>
          <w:color w:val="auto"/>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w:t>
      </w:r>
      <w:r w:rsidR="004E1489">
        <w:rPr>
          <w:rFonts w:ascii="Tahoma" w:eastAsia="Times New Roman" w:hAnsi="Tahoma" w:cs="Tahoma"/>
          <w:bCs/>
          <w:color w:val="auto"/>
        </w:rPr>
        <w:t>do a la categoría del Municipio. El M</w:t>
      </w:r>
      <w:r w:rsidR="008C73D6" w:rsidRPr="00CA76CA">
        <w:rPr>
          <w:rFonts w:ascii="Tahoma" w:eastAsia="Times New Roman" w:hAnsi="Tahoma" w:cs="Tahoma"/>
          <w:bCs/>
          <w:color w:val="auto"/>
        </w:rPr>
        <w:t xml:space="preserve">unicipio de </w:t>
      </w:r>
      <w:r w:rsidR="00C81635" w:rsidRPr="00C239B2">
        <w:rPr>
          <w:rFonts w:ascii="Tahoma" w:eastAsia="Times New Roman" w:hAnsi="Tahoma" w:cs="Tahoma"/>
          <w:b/>
          <w:bCs/>
          <w:color w:val="auto"/>
        </w:rPr>
        <w:t>Coello</w:t>
      </w:r>
      <w:r w:rsidR="008C73D6" w:rsidRPr="00CA76CA">
        <w:rPr>
          <w:rFonts w:ascii="Tahoma" w:eastAsia="Times New Roman" w:hAnsi="Tahoma" w:cs="Tahoma"/>
          <w:bCs/>
          <w:color w:val="auto"/>
        </w:rPr>
        <w:t xml:space="preserve"> </w:t>
      </w:r>
      <w:r w:rsidR="00D34898" w:rsidRPr="00CA76CA">
        <w:rPr>
          <w:rFonts w:ascii="Tahoma" w:eastAsia="Times New Roman" w:hAnsi="Tahoma" w:cs="Tahoma"/>
          <w:bCs/>
          <w:color w:val="auto"/>
        </w:rPr>
        <w:t xml:space="preserve">se encuentra clasificado en Sexta Categoría, los gastos </w:t>
      </w:r>
      <w:r w:rsidR="004E1489">
        <w:rPr>
          <w:rFonts w:ascii="Tahoma" w:eastAsia="Times New Roman" w:hAnsi="Tahoma" w:cs="Tahoma"/>
          <w:bCs/>
          <w:color w:val="auto"/>
        </w:rPr>
        <w:t>de la personería no podrá</w:t>
      </w:r>
      <w:r w:rsidR="00D34898" w:rsidRPr="00CA76CA">
        <w:rPr>
          <w:rFonts w:ascii="Tahoma" w:eastAsia="Times New Roman" w:hAnsi="Tahoma" w:cs="Tahoma"/>
          <w:bCs/>
          <w:color w:val="auto"/>
        </w:rPr>
        <w:t xml:space="preserve"> superar los 150 SMMV, es decir, para la vigencia 2015 la suma de </w:t>
      </w:r>
      <w:r w:rsidR="00D34898" w:rsidRPr="00760198">
        <w:rPr>
          <w:rFonts w:ascii="Tahoma" w:eastAsia="Times New Roman" w:hAnsi="Tahoma" w:cs="Tahoma"/>
          <w:b/>
          <w:bCs/>
          <w:color w:val="auto"/>
        </w:rPr>
        <w:t>$96.652.500.oo</w:t>
      </w:r>
      <w:r w:rsidR="00760198">
        <w:rPr>
          <w:rFonts w:ascii="Tahoma" w:eastAsia="Times New Roman" w:hAnsi="Tahoma" w:cs="Tahoma"/>
          <w:b/>
          <w:bCs/>
          <w:color w:val="auto"/>
        </w:rPr>
        <w:t>.</w:t>
      </w:r>
    </w:p>
    <w:p w:rsidR="00D34898" w:rsidRPr="00CA76CA" w:rsidRDefault="00D34898" w:rsidP="004B7B3F">
      <w:pPr>
        <w:spacing w:before="0" w:after="0"/>
        <w:jc w:val="both"/>
        <w:rPr>
          <w:rFonts w:ascii="Tahoma" w:eastAsia="Times New Roman" w:hAnsi="Tahoma" w:cs="Tahoma"/>
          <w:bCs/>
          <w:color w:val="auto"/>
        </w:rPr>
      </w:pPr>
    </w:p>
    <w:p w:rsidR="00F344D5" w:rsidRPr="00CA76CA" w:rsidRDefault="00F344D5" w:rsidP="004B7B3F">
      <w:pPr>
        <w:spacing w:before="0" w:after="0"/>
        <w:jc w:val="both"/>
        <w:rPr>
          <w:rFonts w:ascii="Tahoma" w:eastAsia="Times New Roman" w:hAnsi="Tahoma" w:cs="Tahoma"/>
          <w:bCs/>
          <w:color w:val="auto"/>
        </w:rPr>
      </w:pPr>
      <w:r w:rsidRPr="00227F78">
        <w:rPr>
          <w:rFonts w:ascii="Tahoma" w:eastAsia="Times New Roman" w:hAnsi="Tahoma" w:cs="Tahoma"/>
          <w:bCs/>
          <w:color w:val="auto"/>
        </w:rPr>
        <w:t>Por</w:t>
      </w:r>
      <w:r w:rsidR="00D34898" w:rsidRPr="00227F78">
        <w:rPr>
          <w:rFonts w:ascii="Tahoma" w:eastAsia="Times New Roman" w:hAnsi="Tahoma" w:cs="Tahoma"/>
          <w:bCs/>
          <w:color w:val="auto"/>
        </w:rPr>
        <w:t xml:space="preserve"> lo anterior, se obs</w:t>
      </w:r>
      <w:r w:rsidR="00760198">
        <w:rPr>
          <w:rFonts w:ascii="Tahoma" w:eastAsia="Times New Roman" w:hAnsi="Tahoma" w:cs="Tahoma"/>
          <w:bCs/>
          <w:color w:val="auto"/>
        </w:rPr>
        <w:t xml:space="preserve">ervó que la entidad Territorial </w:t>
      </w:r>
      <w:r w:rsidR="00760198" w:rsidRPr="00760198">
        <w:rPr>
          <w:rFonts w:ascii="Tahoma" w:eastAsia="Times New Roman" w:hAnsi="Tahoma" w:cs="Tahoma"/>
          <w:b/>
          <w:bCs/>
          <w:color w:val="auto"/>
          <w:u w:val="single"/>
        </w:rPr>
        <w:t xml:space="preserve">NO </w:t>
      </w:r>
      <w:r w:rsidRPr="00760198">
        <w:rPr>
          <w:rFonts w:ascii="Tahoma" w:eastAsia="Times New Roman" w:hAnsi="Tahoma" w:cs="Tahoma"/>
          <w:b/>
          <w:bCs/>
          <w:color w:val="auto"/>
          <w:u w:val="single"/>
        </w:rPr>
        <w:t>c</w:t>
      </w:r>
      <w:r w:rsidRPr="00227F78">
        <w:rPr>
          <w:rFonts w:ascii="Tahoma" w:eastAsia="Times New Roman" w:hAnsi="Tahoma" w:cs="Tahoma"/>
          <w:b/>
          <w:bCs/>
          <w:color w:val="auto"/>
          <w:u w:val="single"/>
        </w:rPr>
        <w:t>umplió</w:t>
      </w:r>
      <w:r w:rsidRPr="00227F78">
        <w:rPr>
          <w:rFonts w:ascii="Tahoma" w:eastAsia="Times New Roman" w:hAnsi="Tahoma" w:cs="Tahoma"/>
          <w:bCs/>
          <w:color w:val="auto"/>
        </w:rPr>
        <w:t xml:space="preserve"> con lo Establecido en la ley 617 de 2000, toda vez que le transfirió a la personería Municipal la suma de </w:t>
      </w:r>
      <w:r w:rsidR="00425FF4" w:rsidRPr="00C239B2">
        <w:rPr>
          <w:rFonts w:ascii="Tahoma" w:eastAsia="Times New Roman" w:hAnsi="Tahoma" w:cs="Tahoma"/>
          <w:b/>
          <w:bCs/>
          <w:color w:val="auto"/>
        </w:rPr>
        <w:t>$9</w:t>
      </w:r>
      <w:r w:rsidR="00760198" w:rsidRPr="00C239B2">
        <w:rPr>
          <w:rFonts w:ascii="Tahoma" w:eastAsia="Times New Roman" w:hAnsi="Tahoma" w:cs="Tahoma"/>
          <w:b/>
          <w:bCs/>
          <w:color w:val="auto"/>
        </w:rPr>
        <w:t>7.567.000.oo</w:t>
      </w:r>
      <w:r w:rsidRPr="00227F78">
        <w:rPr>
          <w:rFonts w:ascii="Tahoma" w:eastAsia="Times New Roman" w:hAnsi="Tahoma" w:cs="Tahoma"/>
          <w:bCs/>
          <w:color w:val="auto"/>
        </w:rPr>
        <w:t xml:space="preserve">, </w:t>
      </w:r>
      <w:r w:rsidR="00760198">
        <w:rPr>
          <w:rFonts w:ascii="Tahoma" w:eastAsia="Times New Roman" w:hAnsi="Tahoma" w:cs="Tahoma"/>
          <w:bCs/>
          <w:color w:val="auto"/>
        </w:rPr>
        <w:t xml:space="preserve">cifra mayor a los </w:t>
      </w:r>
      <w:r w:rsidR="00D34898" w:rsidRPr="00227F78">
        <w:rPr>
          <w:rFonts w:ascii="Tahoma" w:eastAsia="Times New Roman" w:hAnsi="Tahoma" w:cs="Tahoma"/>
          <w:bCs/>
          <w:color w:val="auto"/>
        </w:rPr>
        <w:t>150</w:t>
      </w:r>
      <w:r w:rsidRPr="00227F78">
        <w:rPr>
          <w:rFonts w:ascii="Tahoma" w:eastAsia="Times New Roman" w:hAnsi="Tahoma" w:cs="Tahoma"/>
          <w:bCs/>
          <w:color w:val="auto"/>
        </w:rPr>
        <w:t xml:space="preserve"> SM</w:t>
      </w:r>
      <w:r w:rsidR="00D34898" w:rsidRPr="00227F78">
        <w:rPr>
          <w:rFonts w:ascii="Tahoma" w:eastAsia="Times New Roman" w:hAnsi="Tahoma" w:cs="Tahoma"/>
          <w:bCs/>
          <w:color w:val="auto"/>
        </w:rPr>
        <w:t>M</w:t>
      </w:r>
      <w:r w:rsidR="00425FF4" w:rsidRPr="00227F78">
        <w:rPr>
          <w:rFonts w:ascii="Tahoma" w:eastAsia="Times New Roman" w:hAnsi="Tahoma" w:cs="Tahoma"/>
          <w:bCs/>
          <w:color w:val="auto"/>
        </w:rPr>
        <w:t>V</w:t>
      </w:r>
      <w:r w:rsidR="00760198">
        <w:rPr>
          <w:rFonts w:ascii="Tahoma" w:eastAsia="Times New Roman" w:hAnsi="Tahoma" w:cs="Tahoma"/>
          <w:bCs/>
          <w:color w:val="auto"/>
        </w:rPr>
        <w:t>.</w:t>
      </w:r>
    </w:p>
    <w:p w:rsidR="00425FF4" w:rsidRPr="00A05F58" w:rsidRDefault="00425FF4" w:rsidP="004B7B3F">
      <w:pPr>
        <w:spacing w:before="0" w:after="0"/>
        <w:jc w:val="both"/>
        <w:rPr>
          <w:rFonts w:eastAsia="Times New Roman"/>
          <w:bCs/>
          <w:color w:val="auto"/>
          <w:sz w:val="20"/>
          <w:szCs w:val="20"/>
        </w:rPr>
      </w:pPr>
    </w:p>
    <w:p w:rsidR="00B212CE" w:rsidRPr="00776215" w:rsidRDefault="00B212CE" w:rsidP="00B212CE">
      <w:pPr>
        <w:jc w:val="center"/>
        <w:rPr>
          <w:rFonts w:ascii="Tahoma" w:hAnsi="Tahoma" w:cs="Tahoma"/>
          <w:lang w:val="es-ES" w:eastAsia="es-ES"/>
        </w:rPr>
      </w:pPr>
    </w:p>
    <w:p w:rsidR="00FC66AC" w:rsidRDefault="00FC66AC" w:rsidP="00B212CE">
      <w:pPr>
        <w:spacing w:before="0" w:after="0"/>
        <w:jc w:val="center"/>
        <w:rPr>
          <w:rFonts w:ascii="Tahoma" w:hAnsi="Tahoma" w:cs="Tahoma"/>
          <w:b/>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477304" w:rsidRPr="00CA76CA" w:rsidRDefault="008C7A2F" w:rsidP="00B212CE">
      <w:pPr>
        <w:rPr>
          <w:rFonts w:ascii="Tahoma" w:hAnsi="Tahoma" w:cs="Tahoma"/>
          <w:b/>
        </w:rPr>
      </w:pPr>
      <w:r w:rsidRPr="00776215">
        <w:rPr>
          <w:rFonts w:ascii="Tahoma" w:hAnsi="Tahoma" w:cs="Tahoma"/>
          <w:b/>
          <w:lang w:val="es-ES" w:eastAsia="es-ES"/>
        </w:rPr>
        <w:t xml:space="preserve">4.1  </w:t>
      </w:r>
      <w:r w:rsidRPr="00CA76CA">
        <w:rPr>
          <w:rFonts w:ascii="Tahoma" w:hAnsi="Tahoma" w:cs="Tahoma"/>
          <w:b/>
        </w:rPr>
        <w:t>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 xml:space="preserve">Una vez analizada la información presupuestal del municipio de </w:t>
      </w:r>
      <w:r w:rsidR="00FB0C19">
        <w:rPr>
          <w:rFonts w:ascii="Tahoma" w:hAnsi="Tahoma" w:cs="Tahoma"/>
        </w:rPr>
        <w:t xml:space="preserve">Coello </w:t>
      </w:r>
      <w:r w:rsidR="004F7914" w:rsidRPr="00CA76CA">
        <w:rPr>
          <w:rFonts w:ascii="Tahoma" w:hAnsi="Tahoma" w:cs="Tahoma"/>
        </w:rPr>
        <w:t xml:space="preserve">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B44FE7">
        <w:rPr>
          <w:rFonts w:ascii="Tahoma" w:hAnsi="Tahoma" w:cs="Tahoma"/>
        </w:rPr>
        <w:t xml:space="preserve">un  </w:t>
      </w:r>
      <w:r w:rsidR="000D34F0" w:rsidRPr="004E212A">
        <w:rPr>
          <w:rFonts w:ascii="Tahoma" w:hAnsi="Tahoma" w:cs="Tahoma"/>
          <w:b/>
          <w:u w:val="single"/>
        </w:rPr>
        <w:t>Défici</w:t>
      </w:r>
      <w:r w:rsidR="00B44FE7" w:rsidRPr="004E212A">
        <w:rPr>
          <w:rFonts w:ascii="Tahoma" w:hAnsi="Tahoma" w:cs="Tahoma"/>
          <w:b/>
          <w:u w:val="single"/>
        </w:rPr>
        <w:t>t</w:t>
      </w:r>
      <w:r w:rsidR="004F7914" w:rsidRPr="004E212A">
        <w:rPr>
          <w:rFonts w:ascii="Tahoma" w:hAnsi="Tahoma" w:cs="Tahoma"/>
          <w:b/>
          <w:u w:val="single"/>
        </w:rPr>
        <w:t xml:space="preserve"> presupuestal</w:t>
      </w:r>
      <w:r w:rsidR="004F7914" w:rsidRPr="00CA76CA">
        <w:rPr>
          <w:rFonts w:ascii="Tahoma" w:hAnsi="Tahoma" w:cs="Tahoma"/>
        </w:rPr>
        <w:t xml:space="preserve"> en la suma de $</w:t>
      </w:r>
      <w:r w:rsidR="004E212A">
        <w:rPr>
          <w:rFonts w:ascii="Tahoma" w:hAnsi="Tahoma" w:cs="Tahoma"/>
        </w:rPr>
        <w:t>303.153.206.55</w:t>
      </w:r>
      <w:r w:rsidR="004F7914" w:rsidRPr="00CA76CA">
        <w:rPr>
          <w:rFonts w:ascii="Tahoma" w:hAnsi="Tahoma" w:cs="Tahoma"/>
        </w:rPr>
        <w:t>, toda vez que el Total de los Gastos comprometidos</w:t>
      </w:r>
      <w:r w:rsidR="00E52376">
        <w:rPr>
          <w:rFonts w:ascii="Tahoma" w:hAnsi="Tahoma" w:cs="Tahoma"/>
        </w:rPr>
        <w:t xml:space="preserve"> de la vigencia</w:t>
      </w:r>
      <w:r w:rsidR="004F7914" w:rsidRPr="00CA76CA">
        <w:rPr>
          <w:rFonts w:ascii="Tahoma" w:hAnsi="Tahoma" w:cs="Tahoma"/>
        </w:rPr>
        <w:t xml:space="preserve">,  fueron </w:t>
      </w:r>
      <w:r w:rsidR="004E212A">
        <w:rPr>
          <w:rFonts w:ascii="Tahoma" w:hAnsi="Tahoma" w:cs="Tahoma"/>
        </w:rPr>
        <w:t>mayore</w:t>
      </w:r>
      <w:r w:rsidR="004F7914" w:rsidRPr="00CA76CA">
        <w:rPr>
          <w:rFonts w:ascii="Tahoma" w:hAnsi="Tahoma" w:cs="Tahoma"/>
        </w:rPr>
        <w:t>s a los ingresos efectivamente recaudados.  Ver Tabla.</w:t>
      </w:r>
    </w:p>
    <w:p w:rsidR="008C7A2F" w:rsidRDefault="008C7A2F" w:rsidP="00B212CE"/>
    <w:tbl>
      <w:tblPr>
        <w:tblW w:w="6587" w:type="dxa"/>
        <w:jc w:val="center"/>
        <w:tblCellMar>
          <w:left w:w="70" w:type="dxa"/>
          <w:right w:w="70" w:type="dxa"/>
        </w:tblCellMar>
        <w:tblLook w:val="04A0" w:firstRow="1" w:lastRow="0" w:firstColumn="1" w:lastColumn="0" w:noHBand="0" w:noVBand="1"/>
      </w:tblPr>
      <w:tblGrid>
        <w:gridCol w:w="2480"/>
        <w:gridCol w:w="1910"/>
        <w:gridCol w:w="2197"/>
      </w:tblGrid>
      <w:tr w:rsidR="00B44FE7" w:rsidRPr="00B44FE7" w:rsidTr="004E212A">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INGRESOS</w:t>
            </w:r>
            <w:r w:rsidRPr="00B44FE7">
              <w:rPr>
                <w:rFonts w:ascii="Tahoma" w:eastAsia="Times New Roman" w:hAnsi="Tahoma" w:cs="Tahoma"/>
                <w:color w:val="auto"/>
                <w:sz w:val="20"/>
                <w:szCs w:val="20"/>
              </w:rPr>
              <w:br/>
              <w:t xml:space="preserve">EFECTIVAMENTE RECAUDADOS </w:t>
            </w:r>
          </w:p>
        </w:tc>
        <w:tc>
          <w:tcPr>
            <w:tcW w:w="191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GASTOS EFECTIVAMENTE COMPROMETIDOS </w:t>
            </w:r>
          </w:p>
        </w:tc>
        <w:tc>
          <w:tcPr>
            <w:tcW w:w="2197"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DEFICIT  O  SUPERAVIT</w:t>
            </w:r>
            <w:r w:rsidRPr="00B44FE7">
              <w:rPr>
                <w:rFonts w:ascii="Tahoma" w:eastAsia="Times New Roman" w:hAnsi="Tahoma" w:cs="Tahoma"/>
                <w:color w:val="auto"/>
                <w:sz w:val="20"/>
                <w:szCs w:val="20"/>
              </w:rPr>
              <w:br/>
              <w:t xml:space="preserve">PRESUPUESTAL </w:t>
            </w:r>
          </w:p>
        </w:tc>
      </w:tr>
      <w:tr w:rsidR="00B44FE7" w:rsidRPr="00B44FE7" w:rsidTr="004E212A">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B44FE7" w:rsidRPr="00B44FE7" w:rsidRDefault="00B44FE7" w:rsidP="000D34F0">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4E212A" w:rsidRPr="004E212A">
              <w:rPr>
                <w:rFonts w:ascii="Tahoma" w:eastAsia="Times New Roman" w:hAnsi="Tahoma" w:cs="Tahoma"/>
                <w:color w:val="auto"/>
                <w:sz w:val="20"/>
                <w:szCs w:val="20"/>
              </w:rPr>
              <w:t>15</w:t>
            </w:r>
            <w:r w:rsidR="004E212A">
              <w:rPr>
                <w:rFonts w:ascii="Tahoma" w:eastAsia="Times New Roman" w:hAnsi="Tahoma" w:cs="Tahoma"/>
                <w:color w:val="auto"/>
                <w:sz w:val="20"/>
                <w:szCs w:val="20"/>
              </w:rPr>
              <w:t>.</w:t>
            </w:r>
            <w:r w:rsidR="004E212A" w:rsidRPr="004E212A">
              <w:rPr>
                <w:rFonts w:ascii="Tahoma" w:eastAsia="Times New Roman" w:hAnsi="Tahoma" w:cs="Tahoma"/>
                <w:color w:val="auto"/>
                <w:sz w:val="20"/>
                <w:szCs w:val="20"/>
              </w:rPr>
              <w:t>765</w:t>
            </w:r>
            <w:r w:rsidR="004E212A">
              <w:rPr>
                <w:rFonts w:ascii="Tahoma" w:eastAsia="Times New Roman" w:hAnsi="Tahoma" w:cs="Tahoma"/>
                <w:color w:val="auto"/>
                <w:sz w:val="20"/>
                <w:szCs w:val="20"/>
              </w:rPr>
              <w:t>.</w:t>
            </w:r>
            <w:r w:rsidR="004E212A" w:rsidRPr="004E212A">
              <w:rPr>
                <w:rFonts w:ascii="Tahoma" w:eastAsia="Times New Roman" w:hAnsi="Tahoma" w:cs="Tahoma"/>
                <w:color w:val="auto"/>
                <w:sz w:val="20"/>
                <w:szCs w:val="20"/>
              </w:rPr>
              <w:t>210</w:t>
            </w:r>
            <w:r w:rsidR="004E212A">
              <w:rPr>
                <w:rFonts w:ascii="Tahoma" w:eastAsia="Times New Roman" w:hAnsi="Tahoma" w:cs="Tahoma"/>
                <w:color w:val="auto"/>
                <w:sz w:val="20"/>
                <w:szCs w:val="20"/>
              </w:rPr>
              <w:t>.</w:t>
            </w:r>
            <w:r w:rsidR="004E212A" w:rsidRPr="004E212A">
              <w:rPr>
                <w:rFonts w:ascii="Tahoma" w:eastAsia="Times New Roman" w:hAnsi="Tahoma" w:cs="Tahoma"/>
                <w:color w:val="auto"/>
                <w:sz w:val="20"/>
                <w:szCs w:val="20"/>
              </w:rPr>
              <w:t>292.45</w:t>
            </w:r>
          </w:p>
        </w:tc>
        <w:tc>
          <w:tcPr>
            <w:tcW w:w="191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FB0C19">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FB0C19">
              <w:rPr>
                <w:rFonts w:ascii="Tahoma" w:eastAsia="Times New Roman" w:hAnsi="Tahoma" w:cs="Tahoma"/>
                <w:color w:val="auto"/>
                <w:sz w:val="20"/>
                <w:szCs w:val="20"/>
              </w:rPr>
              <w:t>16.068.363.499.oo</w:t>
            </w:r>
            <w:r w:rsidRPr="00B44FE7">
              <w:rPr>
                <w:rFonts w:ascii="Tahoma" w:eastAsia="Times New Roman" w:hAnsi="Tahoma" w:cs="Tahoma"/>
                <w:color w:val="auto"/>
                <w:sz w:val="20"/>
                <w:szCs w:val="20"/>
              </w:rPr>
              <w:t xml:space="preserve"> </w:t>
            </w:r>
          </w:p>
        </w:tc>
        <w:tc>
          <w:tcPr>
            <w:tcW w:w="2197"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4E212A">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sidR="004E212A">
              <w:rPr>
                <w:rFonts w:ascii="Tahoma" w:eastAsia="Times New Roman" w:hAnsi="Tahoma" w:cs="Tahoma"/>
                <w:color w:val="auto"/>
                <w:sz w:val="20"/>
                <w:szCs w:val="20"/>
              </w:rPr>
              <w:t>-</w:t>
            </w:r>
            <w:r>
              <w:rPr>
                <w:rFonts w:ascii="Tahoma" w:eastAsia="Times New Roman" w:hAnsi="Tahoma" w:cs="Tahoma"/>
                <w:color w:val="auto"/>
                <w:sz w:val="20"/>
                <w:szCs w:val="20"/>
              </w:rPr>
              <w:t>$</w:t>
            </w:r>
            <w:r w:rsidR="004E212A">
              <w:rPr>
                <w:rFonts w:ascii="Tahoma" w:eastAsia="Times New Roman" w:hAnsi="Tahoma" w:cs="Tahoma"/>
                <w:color w:val="auto"/>
                <w:sz w:val="20"/>
                <w:szCs w:val="20"/>
              </w:rPr>
              <w:t>303.153.206.55</w:t>
            </w:r>
            <w:r w:rsidRPr="00B44FE7">
              <w:rPr>
                <w:rFonts w:ascii="Tahoma" w:eastAsia="Times New Roman" w:hAnsi="Tahoma" w:cs="Tahoma"/>
                <w:color w:val="auto"/>
                <w:sz w:val="20"/>
                <w:szCs w:val="20"/>
              </w:rPr>
              <w:t xml:space="preserve"> </w:t>
            </w:r>
          </w:p>
        </w:tc>
      </w:tr>
    </w:tbl>
    <w:p w:rsidR="00477304" w:rsidRDefault="00477304" w:rsidP="00B212CE"/>
    <w:p w:rsidR="005C0DCB" w:rsidRDefault="00BD4C82" w:rsidP="0045772A">
      <w:pPr>
        <w:jc w:val="both"/>
        <w:rPr>
          <w:rFonts w:ascii="Tahoma" w:hAnsi="Tahoma" w:cs="Tahoma"/>
          <w:b/>
          <w:sz w:val="16"/>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r w:rsidR="005C0DCB">
        <w:rPr>
          <w:rFonts w:ascii="Tahoma" w:hAnsi="Tahoma" w:cs="Tahoma"/>
          <w:b/>
          <w:sz w:val="16"/>
        </w:rPr>
        <w:tab/>
      </w:r>
    </w:p>
    <w:sectPr w:rsidR="005C0DCB" w:rsidSect="005F4548">
      <w:headerReference w:type="default" r:id="rId20"/>
      <w:footerReference w:type="default" r:id="rId21"/>
      <w:pgSz w:w="12242" w:h="15842" w:code="1"/>
      <w:pgMar w:top="1985" w:right="1701" w:bottom="1417"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8A5" w:rsidRDefault="003648A5" w:rsidP="00650A99">
      <w:r>
        <w:separator/>
      </w:r>
    </w:p>
  </w:endnote>
  <w:endnote w:type="continuationSeparator" w:id="0">
    <w:p w:rsidR="003648A5" w:rsidRDefault="003648A5"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070555" w:rsidRDefault="00763FDB">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4DBCDECC" wp14:editId="61BC0D73">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224198"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BCDECC"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224198"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065CF0B6" wp14:editId="368B3A3A">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224198" w:rsidRPr="00224198">
                            <w:rPr>
                              <w:rFonts w:ascii="Tahoma" w:hAnsi="Tahoma" w:cs="Tahoma"/>
                              <w:noProof/>
                              <w:sz w:val="14"/>
                              <w:szCs w:val="16"/>
                              <w:lang w:val="es-ES"/>
                            </w:rPr>
                            <w:t>13</w:t>
                          </w:r>
                          <w:r w:rsidR="00763FDB"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CF0B6"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224198" w:rsidRPr="00224198">
                      <w:rPr>
                        <w:rFonts w:ascii="Tahoma" w:hAnsi="Tahoma" w:cs="Tahoma"/>
                        <w:noProof/>
                        <w:sz w:val="14"/>
                        <w:szCs w:val="16"/>
                        <w:lang w:val="es-ES"/>
                      </w:rPr>
                      <w:t>13</w:t>
                    </w:r>
                    <w:r w:rsidR="00763FDB" w:rsidRPr="003205FF">
                      <w:rPr>
                        <w:rFonts w:ascii="Tahoma" w:hAnsi="Tahoma" w:cs="Tahoma"/>
                        <w:sz w:val="14"/>
                        <w:szCs w:val="16"/>
                      </w:rPr>
                      <w:fldChar w:fldCharType="end"/>
                    </w:r>
                  </w:p>
                </w:txbxContent>
              </v:textbox>
            </v:shape>
          </w:pict>
        </mc:Fallback>
      </mc:AlternateContent>
    </w:r>
  </w:p>
  <w:p w:rsidR="00763FDB" w:rsidRPr="00070555" w:rsidRDefault="00763FDB">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8A5" w:rsidRDefault="003648A5" w:rsidP="00650A99">
      <w:r>
        <w:separator/>
      </w:r>
    </w:p>
  </w:footnote>
  <w:footnote w:type="continuationSeparator" w:id="0">
    <w:p w:rsidR="003648A5" w:rsidRDefault="003648A5"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124F58" w:rsidRDefault="00A87EE2">
    <w:pPr>
      <w:pStyle w:val="Encabezado"/>
      <w:rPr>
        <w:rFonts w:ascii="Tahoma" w:hAnsi="Tahoma" w:cs="Tahoma"/>
        <w:sz w:val="8"/>
      </w:rPr>
    </w:pPr>
    <w:r>
      <w:rPr>
        <w:rFonts w:ascii="Tahoma" w:hAnsi="Tahoma" w:cs="Tahoma"/>
        <w:noProof/>
        <w:sz w:val="8"/>
      </w:rPr>
      <w:drawing>
        <wp:inline distT="0" distB="0" distL="0" distR="0">
          <wp:extent cx="1571625" cy="1219200"/>
          <wp:effectExtent l="0" t="0" r="9525"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44803470"/>
    <w:multiLevelType w:val="multilevel"/>
    <w:tmpl w:val="DF4E5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124"/>
    <w:rsid w:val="00001B0E"/>
    <w:rsid w:val="00003666"/>
    <w:rsid w:val="000043A7"/>
    <w:rsid w:val="0000440B"/>
    <w:rsid w:val="0000466A"/>
    <w:rsid w:val="00004FE1"/>
    <w:rsid w:val="0000509C"/>
    <w:rsid w:val="00014DDB"/>
    <w:rsid w:val="000229B5"/>
    <w:rsid w:val="00025419"/>
    <w:rsid w:val="00025DD5"/>
    <w:rsid w:val="000344EC"/>
    <w:rsid w:val="0003468E"/>
    <w:rsid w:val="000352F0"/>
    <w:rsid w:val="0003642F"/>
    <w:rsid w:val="000366A8"/>
    <w:rsid w:val="000367BB"/>
    <w:rsid w:val="00040B1A"/>
    <w:rsid w:val="00043E5E"/>
    <w:rsid w:val="000448FA"/>
    <w:rsid w:val="00044A36"/>
    <w:rsid w:val="00044B50"/>
    <w:rsid w:val="000479B3"/>
    <w:rsid w:val="00054A9B"/>
    <w:rsid w:val="00054CD9"/>
    <w:rsid w:val="0006131A"/>
    <w:rsid w:val="00062C97"/>
    <w:rsid w:val="000653AB"/>
    <w:rsid w:val="00067E63"/>
    <w:rsid w:val="00070555"/>
    <w:rsid w:val="000711BD"/>
    <w:rsid w:val="000714F0"/>
    <w:rsid w:val="0007281C"/>
    <w:rsid w:val="00072FEB"/>
    <w:rsid w:val="00073152"/>
    <w:rsid w:val="00073B9C"/>
    <w:rsid w:val="000740A1"/>
    <w:rsid w:val="00074463"/>
    <w:rsid w:val="00075575"/>
    <w:rsid w:val="000768A7"/>
    <w:rsid w:val="00081209"/>
    <w:rsid w:val="00081BF9"/>
    <w:rsid w:val="000820BD"/>
    <w:rsid w:val="00084A9E"/>
    <w:rsid w:val="00084FFA"/>
    <w:rsid w:val="0009127B"/>
    <w:rsid w:val="00092425"/>
    <w:rsid w:val="00093AFB"/>
    <w:rsid w:val="00094D4C"/>
    <w:rsid w:val="000A1063"/>
    <w:rsid w:val="000B1067"/>
    <w:rsid w:val="000B2584"/>
    <w:rsid w:val="000B334F"/>
    <w:rsid w:val="000B45AA"/>
    <w:rsid w:val="000B720D"/>
    <w:rsid w:val="000B79B3"/>
    <w:rsid w:val="000C19B8"/>
    <w:rsid w:val="000C2D28"/>
    <w:rsid w:val="000C524A"/>
    <w:rsid w:val="000C640F"/>
    <w:rsid w:val="000C699D"/>
    <w:rsid w:val="000D213C"/>
    <w:rsid w:val="000D251E"/>
    <w:rsid w:val="000D2896"/>
    <w:rsid w:val="000D34F0"/>
    <w:rsid w:val="000D715E"/>
    <w:rsid w:val="000D734C"/>
    <w:rsid w:val="000E117C"/>
    <w:rsid w:val="000E1A99"/>
    <w:rsid w:val="000E644B"/>
    <w:rsid w:val="000E6AAA"/>
    <w:rsid w:val="000F17B4"/>
    <w:rsid w:val="000F2E89"/>
    <w:rsid w:val="000F4FA1"/>
    <w:rsid w:val="000F5879"/>
    <w:rsid w:val="000F669B"/>
    <w:rsid w:val="0010414B"/>
    <w:rsid w:val="001055EC"/>
    <w:rsid w:val="001076B9"/>
    <w:rsid w:val="001077DC"/>
    <w:rsid w:val="00111B97"/>
    <w:rsid w:val="00113518"/>
    <w:rsid w:val="00120691"/>
    <w:rsid w:val="001206EF"/>
    <w:rsid w:val="00124F58"/>
    <w:rsid w:val="001301DF"/>
    <w:rsid w:val="00131E4E"/>
    <w:rsid w:val="00132C47"/>
    <w:rsid w:val="0013431C"/>
    <w:rsid w:val="001361E3"/>
    <w:rsid w:val="0014091C"/>
    <w:rsid w:val="0014349F"/>
    <w:rsid w:val="0014355A"/>
    <w:rsid w:val="0014403D"/>
    <w:rsid w:val="00146B0F"/>
    <w:rsid w:val="0015068C"/>
    <w:rsid w:val="00150761"/>
    <w:rsid w:val="00150875"/>
    <w:rsid w:val="001531E5"/>
    <w:rsid w:val="00153A3B"/>
    <w:rsid w:val="001542DE"/>
    <w:rsid w:val="001605A0"/>
    <w:rsid w:val="0016372F"/>
    <w:rsid w:val="00163FB1"/>
    <w:rsid w:val="001641C1"/>
    <w:rsid w:val="00164C7B"/>
    <w:rsid w:val="00164E1E"/>
    <w:rsid w:val="001663AE"/>
    <w:rsid w:val="00166D26"/>
    <w:rsid w:val="0017250D"/>
    <w:rsid w:val="001734CC"/>
    <w:rsid w:val="00174209"/>
    <w:rsid w:val="00174ED6"/>
    <w:rsid w:val="001750E0"/>
    <w:rsid w:val="00176EEF"/>
    <w:rsid w:val="001771C0"/>
    <w:rsid w:val="00181EE3"/>
    <w:rsid w:val="0018596D"/>
    <w:rsid w:val="001863EB"/>
    <w:rsid w:val="00196F51"/>
    <w:rsid w:val="001A3646"/>
    <w:rsid w:val="001A5473"/>
    <w:rsid w:val="001B0E71"/>
    <w:rsid w:val="001B29EB"/>
    <w:rsid w:val="001B475A"/>
    <w:rsid w:val="001B6C00"/>
    <w:rsid w:val="001B7E9B"/>
    <w:rsid w:val="001C1E2D"/>
    <w:rsid w:val="001C1EA3"/>
    <w:rsid w:val="001C4742"/>
    <w:rsid w:val="001C5A39"/>
    <w:rsid w:val="001C7699"/>
    <w:rsid w:val="001D1380"/>
    <w:rsid w:val="001D1B45"/>
    <w:rsid w:val="001D31AB"/>
    <w:rsid w:val="001D3576"/>
    <w:rsid w:val="001D5CA9"/>
    <w:rsid w:val="001D6862"/>
    <w:rsid w:val="001D7D6A"/>
    <w:rsid w:val="001E008D"/>
    <w:rsid w:val="001E0386"/>
    <w:rsid w:val="001E09D9"/>
    <w:rsid w:val="001E0C5A"/>
    <w:rsid w:val="001E19D5"/>
    <w:rsid w:val="001E2CF6"/>
    <w:rsid w:val="001E479B"/>
    <w:rsid w:val="001F0D65"/>
    <w:rsid w:val="001F11A4"/>
    <w:rsid w:val="001F3599"/>
    <w:rsid w:val="001F3E0C"/>
    <w:rsid w:val="001F4762"/>
    <w:rsid w:val="001F7AEE"/>
    <w:rsid w:val="002016AE"/>
    <w:rsid w:val="00201E97"/>
    <w:rsid w:val="00202B7B"/>
    <w:rsid w:val="002049C5"/>
    <w:rsid w:val="00211946"/>
    <w:rsid w:val="00213F57"/>
    <w:rsid w:val="00214DD0"/>
    <w:rsid w:val="00216974"/>
    <w:rsid w:val="00217489"/>
    <w:rsid w:val="002206E8"/>
    <w:rsid w:val="00224140"/>
    <w:rsid w:val="00224198"/>
    <w:rsid w:val="00226503"/>
    <w:rsid w:val="00227F78"/>
    <w:rsid w:val="00230103"/>
    <w:rsid w:val="00231648"/>
    <w:rsid w:val="00231AC8"/>
    <w:rsid w:val="00231ECA"/>
    <w:rsid w:val="00233415"/>
    <w:rsid w:val="00250B2A"/>
    <w:rsid w:val="002510E7"/>
    <w:rsid w:val="00254A87"/>
    <w:rsid w:val="0025641D"/>
    <w:rsid w:val="00256442"/>
    <w:rsid w:val="00256F6A"/>
    <w:rsid w:val="0026039E"/>
    <w:rsid w:val="002628DC"/>
    <w:rsid w:val="00264A57"/>
    <w:rsid w:val="00267A53"/>
    <w:rsid w:val="002702FE"/>
    <w:rsid w:val="002733BF"/>
    <w:rsid w:val="002751D2"/>
    <w:rsid w:val="00282118"/>
    <w:rsid w:val="00282A1A"/>
    <w:rsid w:val="00282AFE"/>
    <w:rsid w:val="00287CE6"/>
    <w:rsid w:val="00292AA4"/>
    <w:rsid w:val="00293B22"/>
    <w:rsid w:val="00294D5A"/>
    <w:rsid w:val="00294FB6"/>
    <w:rsid w:val="00295C78"/>
    <w:rsid w:val="00295E85"/>
    <w:rsid w:val="002978F4"/>
    <w:rsid w:val="00297AD1"/>
    <w:rsid w:val="002A0B28"/>
    <w:rsid w:val="002A128C"/>
    <w:rsid w:val="002A4035"/>
    <w:rsid w:val="002A42B0"/>
    <w:rsid w:val="002A5283"/>
    <w:rsid w:val="002A56BC"/>
    <w:rsid w:val="002B023D"/>
    <w:rsid w:val="002B6D05"/>
    <w:rsid w:val="002B7EA5"/>
    <w:rsid w:val="002C19FA"/>
    <w:rsid w:val="002C24CB"/>
    <w:rsid w:val="002D376E"/>
    <w:rsid w:val="002D5091"/>
    <w:rsid w:val="002D62AF"/>
    <w:rsid w:val="002D73B8"/>
    <w:rsid w:val="002E34BD"/>
    <w:rsid w:val="002E4D5C"/>
    <w:rsid w:val="002E6C96"/>
    <w:rsid w:val="002F0376"/>
    <w:rsid w:val="002F13E5"/>
    <w:rsid w:val="002F1B9A"/>
    <w:rsid w:val="002F3B9C"/>
    <w:rsid w:val="00300E2D"/>
    <w:rsid w:val="00302682"/>
    <w:rsid w:val="003026A2"/>
    <w:rsid w:val="00303824"/>
    <w:rsid w:val="003141AA"/>
    <w:rsid w:val="00314840"/>
    <w:rsid w:val="00317880"/>
    <w:rsid w:val="003203FA"/>
    <w:rsid w:val="003205FF"/>
    <w:rsid w:val="00321EC8"/>
    <w:rsid w:val="00322659"/>
    <w:rsid w:val="003305B2"/>
    <w:rsid w:val="003326A6"/>
    <w:rsid w:val="00332DE4"/>
    <w:rsid w:val="003372AC"/>
    <w:rsid w:val="00337AB0"/>
    <w:rsid w:val="00337E10"/>
    <w:rsid w:val="0034022F"/>
    <w:rsid w:val="00341B3E"/>
    <w:rsid w:val="003509BF"/>
    <w:rsid w:val="0035110E"/>
    <w:rsid w:val="00351487"/>
    <w:rsid w:val="003539AE"/>
    <w:rsid w:val="003559D7"/>
    <w:rsid w:val="00356B3F"/>
    <w:rsid w:val="00362AAB"/>
    <w:rsid w:val="003648A5"/>
    <w:rsid w:val="00367CB1"/>
    <w:rsid w:val="00370F6C"/>
    <w:rsid w:val="00372933"/>
    <w:rsid w:val="00372F40"/>
    <w:rsid w:val="00373B6D"/>
    <w:rsid w:val="003751E2"/>
    <w:rsid w:val="00375CC7"/>
    <w:rsid w:val="003834EF"/>
    <w:rsid w:val="00383D8B"/>
    <w:rsid w:val="00391503"/>
    <w:rsid w:val="0039183D"/>
    <w:rsid w:val="00391C14"/>
    <w:rsid w:val="00392FBA"/>
    <w:rsid w:val="00394BA1"/>
    <w:rsid w:val="003956E5"/>
    <w:rsid w:val="00396E50"/>
    <w:rsid w:val="00397766"/>
    <w:rsid w:val="003A15E7"/>
    <w:rsid w:val="003A2A88"/>
    <w:rsid w:val="003A4812"/>
    <w:rsid w:val="003A497B"/>
    <w:rsid w:val="003A5822"/>
    <w:rsid w:val="003B030A"/>
    <w:rsid w:val="003B35B9"/>
    <w:rsid w:val="003B6AFE"/>
    <w:rsid w:val="003C13D1"/>
    <w:rsid w:val="003C2C8D"/>
    <w:rsid w:val="003C33E8"/>
    <w:rsid w:val="003C5E57"/>
    <w:rsid w:val="003C703A"/>
    <w:rsid w:val="003D1976"/>
    <w:rsid w:val="003D4B2C"/>
    <w:rsid w:val="003D7840"/>
    <w:rsid w:val="003F0FDF"/>
    <w:rsid w:val="003F4BDE"/>
    <w:rsid w:val="003F512B"/>
    <w:rsid w:val="003F5E08"/>
    <w:rsid w:val="00400814"/>
    <w:rsid w:val="00401619"/>
    <w:rsid w:val="004032C1"/>
    <w:rsid w:val="00407637"/>
    <w:rsid w:val="004120E2"/>
    <w:rsid w:val="00415CC3"/>
    <w:rsid w:val="00425FF4"/>
    <w:rsid w:val="00426414"/>
    <w:rsid w:val="00430D77"/>
    <w:rsid w:val="004312CF"/>
    <w:rsid w:val="0043141A"/>
    <w:rsid w:val="00433EE8"/>
    <w:rsid w:val="00435660"/>
    <w:rsid w:val="00441F50"/>
    <w:rsid w:val="00441F85"/>
    <w:rsid w:val="0044795F"/>
    <w:rsid w:val="00452E65"/>
    <w:rsid w:val="00454315"/>
    <w:rsid w:val="00454B8B"/>
    <w:rsid w:val="0045772A"/>
    <w:rsid w:val="004643ED"/>
    <w:rsid w:val="0046718C"/>
    <w:rsid w:val="00467508"/>
    <w:rsid w:val="00467595"/>
    <w:rsid w:val="00471A9A"/>
    <w:rsid w:val="00472801"/>
    <w:rsid w:val="00473EB7"/>
    <w:rsid w:val="004761AF"/>
    <w:rsid w:val="00477304"/>
    <w:rsid w:val="004803CC"/>
    <w:rsid w:val="00480FCA"/>
    <w:rsid w:val="00481340"/>
    <w:rsid w:val="00481490"/>
    <w:rsid w:val="0048203B"/>
    <w:rsid w:val="00482348"/>
    <w:rsid w:val="0048241E"/>
    <w:rsid w:val="00485A4C"/>
    <w:rsid w:val="00487931"/>
    <w:rsid w:val="00490E57"/>
    <w:rsid w:val="00493608"/>
    <w:rsid w:val="004939F0"/>
    <w:rsid w:val="00493CDB"/>
    <w:rsid w:val="00494AA1"/>
    <w:rsid w:val="00496461"/>
    <w:rsid w:val="00496A15"/>
    <w:rsid w:val="004A00E3"/>
    <w:rsid w:val="004A24B6"/>
    <w:rsid w:val="004A6393"/>
    <w:rsid w:val="004A698D"/>
    <w:rsid w:val="004A7153"/>
    <w:rsid w:val="004B10C8"/>
    <w:rsid w:val="004B1676"/>
    <w:rsid w:val="004B3739"/>
    <w:rsid w:val="004B3A5F"/>
    <w:rsid w:val="004B6845"/>
    <w:rsid w:val="004B6F3C"/>
    <w:rsid w:val="004B791D"/>
    <w:rsid w:val="004B7B3F"/>
    <w:rsid w:val="004B7C3B"/>
    <w:rsid w:val="004C10FE"/>
    <w:rsid w:val="004C250E"/>
    <w:rsid w:val="004C27B6"/>
    <w:rsid w:val="004C4E76"/>
    <w:rsid w:val="004D0347"/>
    <w:rsid w:val="004D13A4"/>
    <w:rsid w:val="004D53B6"/>
    <w:rsid w:val="004E028D"/>
    <w:rsid w:val="004E0A6B"/>
    <w:rsid w:val="004E1489"/>
    <w:rsid w:val="004E17F3"/>
    <w:rsid w:val="004E212A"/>
    <w:rsid w:val="004E217B"/>
    <w:rsid w:val="004E3F57"/>
    <w:rsid w:val="004E585C"/>
    <w:rsid w:val="004E5B7D"/>
    <w:rsid w:val="004E655D"/>
    <w:rsid w:val="004E7767"/>
    <w:rsid w:val="004F0F16"/>
    <w:rsid w:val="004F2F93"/>
    <w:rsid w:val="004F372B"/>
    <w:rsid w:val="004F38FE"/>
    <w:rsid w:val="004F758C"/>
    <w:rsid w:val="004F7914"/>
    <w:rsid w:val="004F7C44"/>
    <w:rsid w:val="0050051E"/>
    <w:rsid w:val="00502C12"/>
    <w:rsid w:val="00504C03"/>
    <w:rsid w:val="00505067"/>
    <w:rsid w:val="00505A4E"/>
    <w:rsid w:val="005073CF"/>
    <w:rsid w:val="005105EA"/>
    <w:rsid w:val="00511C4D"/>
    <w:rsid w:val="00513557"/>
    <w:rsid w:val="00515066"/>
    <w:rsid w:val="005150C9"/>
    <w:rsid w:val="00515BBF"/>
    <w:rsid w:val="00516441"/>
    <w:rsid w:val="00516E68"/>
    <w:rsid w:val="005172FE"/>
    <w:rsid w:val="00517351"/>
    <w:rsid w:val="00517C86"/>
    <w:rsid w:val="00520FA4"/>
    <w:rsid w:val="00521391"/>
    <w:rsid w:val="005220BC"/>
    <w:rsid w:val="00522858"/>
    <w:rsid w:val="00523B2E"/>
    <w:rsid w:val="00524E1D"/>
    <w:rsid w:val="0052650A"/>
    <w:rsid w:val="00527649"/>
    <w:rsid w:val="005279E8"/>
    <w:rsid w:val="005325B4"/>
    <w:rsid w:val="0053385B"/>
    <w:rsid w:val="00536B82"/>
    <w:rsid w:val="0054263E"/>
    <w:rsid w:val="005463E0"/>
    <w:rsid w:val="0054739F"/>
    <w:rsid w:val="00551911"/>
    <w:rsid w:val="00551920"/>
    <w:rsid w:val="00552A0E"/>
    <w:rsid w:val="00552B7F"/>
    <w:rsid w:val="0055306E"/>
    <w:rsid w:val="005540CE"/>
    <w:rsid w:val="00554A6E"/>
    <w:rsid w:val="00560B0C"/>
    <w:rsid w:val="00562B5C"/>
    <w:rsid w:val="00563CF0"/>
    <w:rsid w:val="00563D53"/>
    <w:rsid w:val="00565F73"/>
    <w:rsid w:val="0056750E"/>
    <w:rsid w:val="00567980"/>
    <w:rsid w:val="005679E4"/>
    <w:rsid w:val="00570EEE"/>
    <w:rsid w:val="00571490"/>
    <w:rsid w:val="005760BF"/>
    <w:rsid w:val="00576831"/>
    <w:rsid w:val="00577624"/>
    <w:rsid w:val="00577ABF"/>
    <w:rsid w:val="00581A4A"/>
    <w:rsid w:val="00582CF0"/>
    <w:rsid w:val="005857D2"/>
    <w:rsid w:val="00585BCF"/>
    <w:rsid w:val="00585ED0"/>
    <w:rsid w:val="0058720B"/>
    <w:rsid w:val="005916D2"/>
    <w:rsid w:val="00591B11"/>
    <w:rsid w:val="00595C35"/>
    <w:rsid w:val="00595DA7"/>
    <w:rsid w:val="00595ED2"/>
    <w:rsid w:val="005A6091"/>
    <w:rsid w:val="005A61E4"/>
    <w:rsid w:val="005A66BA"/>
    <w:rsid w:val="005B1E55"/>
    <w:rsid w:val="005B6E10"/>
    <w:rsid w:val="005B6F12"/>
    <w:rsid w:val="005C0DCB"/>
    <w:rsid w:val="005C46B0"/>
    <w:rsid w:val="005C584D"/>
    <w:rsid w:val="005C59D9"/>
    <w:rsid w:val="005D173F"/>
    <w:rsid w:val="005D17BC"/>
    <w:rsid w:val="005D4B42"/>
    <w:rsid w:val="005D655F"/>
    <w:rsid w:val="005D6811"/>
    <w:rsid w:val="005D6B64"/>
    <w:rsid w:val="005E0382"/>
    <w:rsid w:val="005E0E4A"/>
    <w:rsid w:val="005E1D3C"/>
    <w:rsid w:val="005E1DE9"/>
    <w:rsid w:val="005E5E78"/>
    <w:rsid w:val="005F11EA"/>
    <w:rsid w:val="005F2A16"/>
    <w:rsid w:val="005F4548"/>
    <w:rsid w:val="005F4A02"/>
    <w:rsid w:val="005F5D93"/>
    <w:rsid w:val="00603AAD"/>
    <w:rsid w:val="00604208"/>
    <w:rsid w:val="00604368"/>
    <w:rsid w:val="00604E5C"/>
    <w:rsid w:val="006075BD"/>
    <w:rsid w:val="006120DA"/>
    <w:rsid w:val="00616C3A"/>
    <w:rsid w:val="00617E98"/>
    <w:rsid w:val="00622F53"/>
    <w:rsid w:val="00624D66"/>
    <w:rsid w:val="006309B9"/>
    <w:rsid w:val="00636089"/>
    <w:rsid w:val="00640913"/>
    <w:rsid w:val="00641842"/>
    <w:rsid w:val="00650A99"/>
    <w:rsid w:val="00652CEE"/>
    <w:rsid w:val="0065485A"/>
    <w:rsid w:val="0066026B"/>
    <w:rsid w:val="0066086C"/>
    <w:rsid w:val="00664223"/>
    <w:rsid w:val="00670BA5"/>
    <w:rsid w:val="00670D69"/>
    <w:rsid w:val="00674492"/>
    <w:rsid w:val="0067483D"/>
    <w:rsid w:val="006753C6"/>
    <w:rsid w:val="00676443"/>
    <w:rsid w:val="006806F7"/>
    <w:rsid w:val="006807AC"/>
    <w:rsid w:val="00682367"/>
    <w:rsid w:val="00682C69"/>
    <w:rsid w:val="00685EF4"/>
    <w:rsid w:val="006879BE"/>
    <w:rsid w:val="00690E68"/>
    <w:rsid w:val="00691813"/>
    <w:rsid w:val="006928D1"/>
    <w:rsid w:val="00692975"/>
    <w:rsid w:val="006948C5"/>
    <w:rsid w:val="00697D59"/>
    <w:rsid w:val="006A0029"/>
    <w:rsid w:val="006A05D6"/>
    <w:rsid w:val="006A0F41"/>
    <w:rsid w:val="006A5990"/>
    <w:rsid w:val="006A5FCB"/>
    <w:rsid w:val="006A6FC6"/>
    <w:rsid w:val="006A7118"/>
    <w:rsid w:val="006A72BA"/>
    <w:rsid w:val="006A75AC"/>
    <w:rsid w:val="006B0537"/>
    <w:rsid w:val="006B5985"/>
    <w:rsid w:val="006B5999"/>
    <w:rsid w:val="006B765E"/>
    <w:rsid w:val="006C7116"/>
    <w:rsid w:val="006D2B4A"/>
    <w:rsid w:val="006D569B"/>
    <w:rsid w:val="006D7C83"/>
    <w:rsid w:val="006E21C8"/>
    <w:rsid w:val="006E4583"/>
    <w:rsid w:val="006E5817"/>
    <w:rsid w:val="006F03F4"/>
    <w:rsid w:val="006F26B2"/>
    <w:rsid w:val="006F58C5"/>
    <w:rsid w:val="006F5B7D"/>
    <w:rsid w:val="006F7B44"/>
    <w:rsid w:val="00700DA8"/>
    <w:rsid w:val="00700DB0"/>
    <w:rsid w:val="0070120A"/>
    <w:rsid w:val="00702901"/>
    <w:rsid w:val="007042C0"/>
    <w:rsid w:val="0070483E"/>
    <w:rsid w:val="007050ED"/>
    <w:rsid w:val="007057E8"/>
    <w:rsid w:val="007062D9"/>
    <w:rsid w:val="00706545"/>
    <w:rsid w:val="00707F65"/>
    <w:rsid w:val="00712F01"/>
    <w:rsid w:val="00713F75"/>
    <w:rsid w:val="00717687"/>
    <w:rsid w:val="00721A74"/>
    <w:rsid w:val="00725E02"/>
    <w:rsid w:val="00726264"/>
    <w:rsid w:val="0073154E"/>
    <w:rsid w:val="007344EA"/>
    <w:rsid w:val="00735592"/>
    <w:rsid w:val="00736B63"/>
    <w:rsid w:val="00740BC2"/>
    <w:rsid w:val="00741448"/>
    <w:rsid w:val="007430EF"/>
    <w:rsid w:val="00743253"/>
    <w:rsid w:val="00743E1A"/>
    <w:rsid w:val="00745063"/>
    <w:rsid w:val="00745F39"/>
    <w:rsid w:val="00747180"/>
    <w:rsid w:val="00751860"/>
    <w:rsid w:val="00755B8D"/>
    <w:rsid w:val="00760198"/>
    <w:rsid w:val="00761E5D"/>
    <w:rsid w:val="00762866"/>
    <w:rsid w:val="00762EF0"/>
    <w:rsid w:val="00763FDB"/>
    <w:rsid w:val="007641A0"/>
    <w:rsid w:val="00766EC2"/>
    <w:rsid w:val="00767FB9"/>
    <w:rsid w:val="00770276"/>
    <w:rsid w:val="00770874"/>
    <w:rsid w:val="00770887"/>
    <w:rsid w:val="00770ADC"/>
    <w:rsid w:val="00771928"/>
    <w:rsid w:val="007731C6"/>
    <w:rsid w:val="00773282"/>
    <w:rsid w:val="00773547"/>
    <w:rsid w:val="00775756"/>
    <w:rsid w:val="00776215"/>
    <w:rsid w:val="007828B7"/>
    <w:rsid w:val="00782F33"/>
    <w:rsid w:val="0078344D"/>
    <w:rsid w:val="007857D0"/>
    <w:rsid w:val="007877F3"/>
    <w:rsid w:val="00790020"/>
    <w:rsid w:val="00790739"/>
    <w:rsid w:val="00792612"/>
    <w:rsid w:val="00796DDA"/>
    <w:rsid w:val="007A35B9"/>
    <w:rsid w:val="007A4D8D"/>
    <w:rsid w:val="007B2470"/>
    <w:rsid w:val="007B4882"/>
    <w:rsid w:val="007B5621"/>
    <w:rsid w:val="007B5998"/>
    <w:rsid w:val="007B6AD6"/>
    <w:rsid w:val="007B6F76"/>
    <w:rsid w:val="007B70F7"/>
    <w:rsid w:val="007C336F"/>
    <w:rsid w:val="007C4270"/>
    <w:rsid w:val="007C450B"/>
    <w:rsid w:val="007C4578"/>
    <w:rsid w:val="007C532D"/>
    <w:rsid w:val="007D2E65"/>
    <w:rsid w:val="007D411F"/>
    <w:rsid w:val="007E1795"/>
    <w:rsid w:val="007E35B4"/>
    <w:rsid w:val="007E45F2"/>
    <w:rsid w:val="007E5237"/>
    <w:rsid w:val="007F2F30"/>
    <w:rsid w:val="007F37C0"/>
    <w:rsid w:val="007F40C8"/>
    <w:rsid w:val="007F5A79"/>
    <w:rsid w:val="007F6500"/>
    <w:rsid w:val="007F7858"/>
    <w:rsid w:val="007F7C04"/>
    <w:rsid w:val="00800EA9"/>
    <w:rsid w:val="008032B9"/>
    <w:rsid w:val="008036D7"/>
    <w:rsid w:val="00804D2D"/>
    <w:rsid w:val="00805925"/>
    <w:rsid w:val="00806566"/>
    <w:rsid w:val="00807EFC"/>
    <w:rsid w:val="00810084"/>
    <w:rsid w:val="00811831"/>
    <w:rsid w:val="008120FD"/>
    <w:rsid w:val="00815CEE"/>
    <w:rsid w:val="00815D0B"/>
    <w:rsid w:val="008165BB"/>
    <w:rsid w:val="008175B2"/>
    <w:rsid w:val="00817D8E"/>
    <w:rsid w:val="00820529"/>
    <w:rsid w:val="00820A3F"/>
    <w:rsid w:val="00821C06"/>
    <w:rsid w:val="00821EDD"/>
    <w:rsid w:val="00826FF2"/>
    <w:rsid w:val="00827082"/>
    <w:rsid w:val="0083178E"/>
    <w:rsid w:val="00832014"/>
    <w:rsid w:val="008369B2"/>
    <w:rsid w:val="00836C5C"/>
    <w:rsid w:val="008375EB"/>
    <w:rsid w:val="008442CE"/>
    <w:rsid w:val="008445AE"/>
    <w:rsid w:val="00844F12"/>
    <w:rsid w:val="0084571C"/>
    <w:rsid w:val="00852E16"/>
    <w:rsid w:val="0085709B"/>
    <w:rsid w:val="00857DE1"/>
    <w:rsid w:val="00862E28"/>
    <w:rsid w:val="008646D2"/>
    <w:rsid w:val="008647D1"/>
    <w:rsid w:val="00865165"/>
    <w:rsid w:val="00865411"/>
    <w:rsid w:val="00870C3E"/>
    <w:rsid w:val="0087308F"/>
    <w:rsid w:val="00873FB4"/>
    <w:rsid w:val="0087506E"/>
    <w:rsid w:val="008751D9"/>
    <w:rsid w:val="008761A0"/>
    <w:rsid w:val="008762C3"/>
    <w:rsid w:val="00876444"/>
    <w:rsid w:val="00881C9C"/>
    <w:rsid w:val="0088732D"/>
    <w:rsid w:val="008956AB"/>
    <w:rsid w:val="00896EAD"/>
    <w:rsid w:val="008A0307"/>
    <w:rsid w:val="008A3FB8"/>
    <w:rsid w:val="008A5D7F"/>
    <w:rsid w:val="008B0625"/>
    <w:rsid w:val="008B0A18"/>
    <w:rsid w:val="008B30C9"/>
    <w:rsid w:val="008B3A69"/>
    <w:rsid w:val="008B7176"/>
    <w:rsid w:val="008C00FD"/>
    <w:rsid w:val="008C10F9"/>
    <w:rsid w:val="008C11BF"/>
    <w:rsid w:val="008C2780"/>
    <w:rsid w:val="008C2EA2"/>
    <w:rsid w:val="008C73D6"/>
    <w:rsid w:val="008C7A2F"/>
    <w:rsid w:val="008D04FA"/>
    <w:rsid w:val="008D2D24"/>
    <w:rsid w:val="008E2ADB"/>
    <w:rsid w:val="008E40B7"/>
    <w:rsid w:val="008E6775"/>
    <w:rsid w:val="008E78EB"/>
    <w:rsid w:val="008F01DE"/>
    <w:rsid w:val="008F57E4"/>
    <w:rsid w:val="008F6815"/>
    <w:rsid w:val="00901C37"/>
    <w:rsid w:val="00902FDE"/>
    <w:rsid w:val="009058D0"/>
    <w:rsid w:val="00907660"/>
    <w:rsid w:val="00913AD5"/>
    <w:rsid w:val="00914565"/>
    <w:rsid w:val="009148E7"/>
    <w:rsid w:val="00915224"/>
    <w:rsid w:val="00926286"/>
    <w:rsid w:val="00926317"/>
    <w:rsid w:val="00926B45"/>
    <w:rsid w:val="0093138C"/>
    <w:rsid w:val="00933184"/>
    <w:rsid w:val="00934CE3"/>
    <w:rsid w:val="00941DC5"/>
    <w:rsid w:val="00942F02"/>
    <w:rsid w:val="00943029"/>
    <w:rsid w:val="0094723D"/>
    <w:rsid w:val="009509DD"/>
    <w:rsid w:val="00950A8A"/>
    <w:rsid w:val="009531E2"/>
    <w:rsid w:val="00953438"/>
    <w:rsid w:val="00956098"/>
    <w:rsid w:val="009606B3"/>
    <w:rsid w:val="00961788"/>
    <w:rsid w:val="0096241A"/>
    <w:rsid w:val="00966EAD"/>
    <w:rsid w:val="00972EE9"/>
    <w:rsid w:val="00973D1A"/>
    <w:rsid w:val="0097536C"/>
    <w:rsid w:val="0097627C"/>
    <w:rsid w:val="0098143F"/>
    <w:rsid w:val="00982549"/>
    <w:rsid w:val="009848DF"/>
    <w:rsid w:val="00986F71"/>
    <w:rsid w:val="00990B51"/>
    <w:rsid w:val="0099278C"/>
    <w:rsid w:val="00996A17"/>
    <w:rsid w:val="009A236F"/>
    <w:rsid w:val="009A3F4E"/>
    <w:rsid w:val="009A5596"/>
    <w:rsid w:val="009A67EB"/>
    <w:rsid w:val="009A7AA1"/>
    <w:rsid w:val="009B2860"/>
    <w:rsid w:val="009B2FAE"/>
    <w:rsid w:val="009B38B1"/>
    <w:rsid w:val="009B4265"/>
    <w:rsid w:val="009B7AC7"/>
    <w:rsid w:val="009C0615"/>
    <w:rsid w:val="009C3106"/>
    <w:rsid w:val="009C3354"/>
    <w:rsid w:val="009C5C1A"/>
    <w:rsid w:val="009C7A81"/>
    <w:rsid w:val="009C7C0D"/>
    <w:rsid w:val="009D4B99"/>
    <w:rsid w:val="009D7ECE"/>
    <w:rsid w:val="009E0CF7"/>
    <w:rsid w:val="009E5D05"/>
    <w:rsid w:val="009F0492"/>
    <w:rsid w:val="009F0FBE"/>
    <w:rsid w:val="009F2029"/>
    <w:rsid w:val="009F248B"/>
    <w:rsid w:val="009F6412"/>
    <w:rsid w:val="00A006DE"/>
    <w:rsid w:val="00A0382D"/>
    <w:rsid w:val="00A05791"/>
    <w:rsid w:val="00A05F58"/>
    <w:rsid w:val="00A07EF9"/>
    <w:rsid w:val="00A11B42"/>
    <w:rsid w:val="00A13AE4"/>
    <w:rsid w:val="00A20940"/>
    <w:rsid w:val="00A24C85"/>
    <w:rsid w:val="00A258F0"/>
    <w:rsid w:val="00A329EF"/>
    <w:rsid w:val="00A34FD5"/>
    <w:rsid w:val="00A36083"/>
    <w:rsid w:val="00A36A80"/>
    <w:rsid w:val="00A43CD6"/>
    <w:rsid w:val="00A44621"/>
    <w:rsid w:val="00A47C6A"/>
    <w:rsid w:val="00A47CA0"/>
    <w:rsid w:val="00A54B0D"/>
    <w:rsid w:val="00A566FE"/>
    <w:rsid w:val="00A57CC2"/>
    <w:rsid w:val="00A6251D"/>
    <w:rsid w:val="00A6547B"/>
    <w:rsid w:val="00A654D7"/>
    <w:rsid w:val="00A65971"/>
    <w:rsid w:val="00A66750"/>
    <w:rsid w:val="00A70182"/>
    <w:rsid w:val="00A70BA7"/>
    <w:rsid w:val="00A72A13"/>
    <w:rsid w:val="00A744EC"/>
    <w:rsid w:val="00A7495A"/>
    <w:rsid w:val="00A752C7"/>
    <w:rsid w:val="00A77968"/>
    <w:rsid w:val="00A833AB"/>
    <w:rsid w:val="00A83649"/>
    <w:rsid w:val="00A83779"/>
    <w:rsid w:val="00A839F4"/>
    <w:rsid w:val="00A85837"/>
    <w:rsid w:val="00A87EE2"/>
    <w:rsid w:val="00A926CE"/>
    <w:rsid w:val="00A92AF7"/>
    <w:rsid w:val="00A9371D"/>
    <w:rsid w:val="00A97894"/>
    <w:rsid w:val="00A97CAD"/>
    <w:rsid w:val="00A97FDD"/>
    <w:rsid w:val="00AA0FB7"/>
    <w:rsid w:val="00AA1AA1"/>
    <w:rsid w:val="00AA1C68"/>
    <w:rsid w:val="00AA5D20"/>
    <w:rsid w:val="00AA690A"/>
    <w:rsid w:val="00AA75DD"/>
    <w:rsid w:val="00AB37B1"/>
    <w:rsid w:val="00AB4FFD"/>
    <w:rsid w:val="00AC2164"/>
    <w:rsid w:val="00AC2B0C"/>
    <w:rsid w:val="00AC4815"/>
    <w:rsid w:val="00AC4CBD"/>
    <w:rsid w:val="00AC4EE0"/>
    <w:rsid w:val="00AC6DD0"/>
    <w:rsid w:val="00AD0C4B"/>
    <w:rsid w:val="00AD3A74"/>
    <w:rsid w:val="00AD56DB"/>
    <w:rsid w:val="00AD5C4D"/>
    <w:rsid w:val="00AD7A50"/>
    <w:rsid w:val="00AE23D3"/>
    <w:rsid w:val="00AE45E6"/>
    <w:rsid w:val="00AE7B84"/>
    <w:rsid w:val="00AF00AF"/>
    <w:rsid w:val="00AF217C"/>
    <w:rsid w:val="00AF5E1D"/>
    <w:rsid w:val="00AF7171"/>
    <w:rsid w:val="00AF71D3"/>
    <w:rsid w:val="00B03114"/>
    <w:rsid w:val="00B03E66"/>
    <w:rsid w:val="00B07062"/>
    <w:rsid w:val="00B10F99"/>
    <w:rsid w:val="00B11E2E"/>
    <w:rsid w:val="00B1396D"/>
    <w:rsid w:val="00B179EC"/>
    <w:rsid w:val="00B17D06"/>
    <w:rsid w:val="00B212CE"/>
    <w:rsid w:val="00B229DE"/>
    <w:rsid w:val="00B24C81"/>
    <w:rsid w:val="00B24EC6"/>
    <w:rsid w:val="00B258AA"/>
    <w:rsid w:val="00B26183"/>
    <w:rsid w:val="00B33ABA"/>
    <w:rsid w:val="00B36BB2"/>
    <w:rsid w:val="00B401FB"/>
    <w:rsid w:val="00B430BE"/>
    <w:rsid w:val="00B44FE7"/>
    <w:rsid w:val="00B51E12"/>
    <w:rsid w:val="00B5275F"/>
    <w:rsid w:val="00B55631"/>
    <w:rsid w:val="00B557F8"/>
    <w:rsid w:val="00B57DCE"/>
    <w:rsid w:val="00B62473"/>
    <w:rsid w:val="00B63D83"/>
    <w:rsid w:val="00B6483D"/>
    <w:rsid w:val="00B65E8C"/>
    <w:rsid w:val="00B7361A"/>
    <w:rsid w:val="00B74F06"/>
    <w:rsid w:val="00B760AE"/>
    <w:rsid w:val="00B761E4"/>
    <w:rsid w:val="00B76887"/>
    <w:rsid w:val="00B76DC7"/>
    <w:rsid w:val="00B8182A"/>
    <w:rsid w:val="00B82557"/>
    <w:rsid w:val="00B83B9D"/>
    <w:rsid w:val="00B83BF2"/>
    <w:rsid w:val="00B8540B"/>
    <w:rsid w:val="00B864A6"/>
    <w:rsid w:val="00B9099F"/>
    <w:rsid w:val="00B91CF2"/>
    <w:rsid w:val="00B92753"/>
    <w:rsid w:val="00B94319"/>
    <w:rsid w:val="00B97B3B"/>
    <w:rsid w:val="00BA1DE4"/>
    <w:rsid w:val="00BA2203"/>
    <w:rsid w:val="00BA2D04"/>
    <w:rsid w:val="00BA3E16"/>
    <w:rsid w:val="00BA4F3D"/>
    <w:rsid w:val="00BA5EC8"/>
    <w:rsid w:val="00BB0B2C"/>
    <w:rsid w:val="00BB226F"/>
    <w:rsid w:val="00BB2EB5"/>
    <w:rsid w:val="00BB3D88"/>
    <w:rsid w:val="00BB6186"/>
    <w:rsid w:val="00BC2190"/>
    <w:rsid w:val="00BC265C"/>
    <w:rsid w:val="00BC3C07"/>
    <w:rsid w:val="00BD0A7B"/>
    <w:rsid w:val="00BD34BB"/>
    <w:rsid w:val="00BD39F4"/>
    <w:rsid w:val="00BD4C82"/>
    <w:rsid w:val="00BE1C07"/>
    <w:rsid w:val="00BE325A"/>
    <w:rsid w:val="00BE515D"/>
    <w:rsid w:val="00BE6F56"/>
    <w:rsid w:val="00BE7F1F"/>
    <w:rsid w:val="00BF3E26"/>
    <w:rsid w:val="00BF3F76"/>
    <w:rsid w:val="00BF5E4B"/>
    <w:rsid w:val="00C00289"/>
    <w:rsid w:val="00C01693"/>
    <w:rsid w:val="00C02000"/>
    <w:rsid w:val="00C035EB"/>
    <w:rsid w:val="00C0395D"/>
    <w:rsid w:val="00C03A42"/>
    <w:rsid w:val="00C0423C"/>
    <w:rsid w:val="00C05786"/>
    <w:rsid w:val="00C06237"/>
    <w:rsid w:val="00C10AAC"/>
    <w:rsid w:val="00C12F15"/>
    <w:rsid w:val="00C142B1"/>
    <w:rsid w:val="00C16960"/>
    <w:rsid w:val="00C20CA8"/>
    <w:rsid w:val="00C20E26"/>
    <w:rsid w:val="00C22DBE"/>
    <w:rsid w:val="00C239B2"/>
    <w:rsid w:val="00C24542"/>
    <w:rsid w:val="00C276A2"/>
    <w:rsid w:val="00C32B9A"/>
    <w:rsid w:val="00C32E28"/>
    <w:rsid w:val="00C3332E"/>
    <w:rsid w:val="00C334D1"/>
    <w:rsid w:val="00C36BE7"/>
    <w:rsid w:val="00C37A7B"/>
    <w:rsid w:val="00C43064"/>
    <w:rsid w:val="00C46A08"/>
    <w:rsid w:val="00C47D9E"/>
    <w:rsid w:val="00C51797"/>
    <w:rsid w:val="00C52DFE"/>
    <w:rsid w:val="00C541A9"/>
    <w:rsid w:val="00C54674"/>
    <w:rsid w:val="00C54A4A"/>
    <w:rsid w:val="00C55945"/>
    <w:rsid w:val="00C56A9B"/>
    <w:rsid w:val="00C572C4"/>
    <w:rsid w:val="00C65605"/>
    <w:rsid w:val="00C6646F"/>
    <w:rsid w:val="00C6685D"/>
    <w:rsid w:val="00C70370"/>
    <w:rsid w:val="00C70B40"/>
    <w:rsid w:val="00C72CA5"/>
    <w:rsid w:val="00C72D32"/>
    <w:rsid w:val="00C769E0"/>
    <w:rsid w:val="00C81635"/>
    <w:rsid w:val="00C86CA5"/>
    <w:rsid w:val="00C945E3"/>
    <w:rsid w:val="00CA1EFC"/>
    <w:rsid w:val="00CA5E43"/>
    <w:rsid w:val="00CA637D"/>
    <w:rsid w:val="00CA669B"/>
    <w:rsid w:val="00CA6D9C"/>
    <w:rsid w:val="00CA76CA"/>
    <w:rsid w:val="00CB47E0"/>
    <w:rsid w:val="00CB6457"/>
    <w:rsid w:val="00CB6D39"/>
    <w:rsid w:val="00CC0170"/>
    <w:rsid w:val="00CC59C1"/>
    <w:rsid w:val="00CC74DC"/>
    <w:rsid w:val="00CD0570"/>
    <w:rsid w:val="00CD3A6C"/>
    <w:rsid w:val="00CE3386"/>
    <w:rsid w:val="00CE6524"/>
    <w:rsid w:val="00CF0493"/>
    <w:rsid w:val="00CF11FD"/>
    <w:rsid w:val="00CF7230"/>
    <w:rsid w:val="00D02D35"/>
    <w:rsid w:val="00D03B46"/>
    <w:rsid w:val="00D05FE1"/>
    <w:rsid w:val="00D17579"/>
    <w:rsid w:val="00D200BE"/>
    <w:rsid w:val="00D204CE"/>
    <w:rsid w:val="00D23393"/>
    <w:rsid w:val="00D27BCA"/>
    <w:rsid w:val="00D33A0E"/>
    <w:rsid w:val="00D34898"/>
    <w:rsid w:val="00D373F0"/>
    <w:rsid w:val="00D37BAF"/>
    <w:rsid w:val="00D42439"/>
    <w:rsid w:val="00D44B0C"/>
    <w:rsid w:val="00D4672B"/>
    <w:rsid w:val="00D47B0A"/>
    <w:rsid w:val="00D51763"/>
    <w:rsid w:val="00D534DF"/>
    <w:rsid w:val="00D613CB"/>
    <w:rsid w:val="00D62647"/>
    <w:rsid w:val="00D65EB0"/>
    <w:rsid w:val="00D718F8"/>
    <w:rsid w:val="00D71C09"/>
    <w:rsid w:val="00D76FA2"/>
    <w:rsid w:val="00D774B6"/>
    <w:rsid w:val="00D82158"/>
    <w:rsid w:val="00D8313F"/>
    <w:rsid w:val="00D86264"/>
    <w:rsid w:val="00D95BCE"/>
    <w:rsid w:val="00D9794C"/>
    <w:rsid w:val="00DA07E0"/>
    <w:rsid w:val="00DA12F2"/>
    <w:rsid w:val="00DA457C"/>
    <w:rsid w:val="00DA6502"/>
    <w:rsid w:val="00DB7F92"/>
    <w:rsid w:val="00DC5A57"/>
    <w:rsid w:val="00DD0981"/>
    <w:rsid w:val="00DD0F92"/>
    <w:rsid w:val="00DD5CA9"/>
    <w:rsid w:val="00DD69A0"/>
    <w:rsid w:val="00DD6F21"/>
    <w:rsid w:val="00DD7B6A"/>
    <w:rsid w:val="00DE4790"/>
    <w:rsid w:val="00DE4F3C"/>
    <w:rsid w:val="00DE59DF"/>
    <w:rsid w:val="00DF05CB"/>
    <w:rsid w:val="00DF220C"/>
    <w:rsid w:val="00DF240E"/>
    <w:rsid w:val="00DF4D29"/>
    <w:rsid w:val="00DF6119"/>
    <w:rsid w:val="00E00EAB"/>
    <w:rsid w:val="00E0299E"/>
    <w:rsid w:val="00E04672"/>
    <w:rsid w:val="00E058B1"/>
    <w:rsid w:val="00E10692"/>
    <w:rsid w:val="00E111B6"/>
    <w:rsid w:val="00E14628"/>
    <w:rsid w:val="00E15028"/>
    <w:rsid w:val="00E15E67"/>
    <w:rsid w:val="00E2010C"/>
    <w:rsid w:val="00E21B5E"/>
    <w:rsid w:val="00E2269A"/>
    <w:rsid w:val="00E255C8"/>
    <w:rsid w:val="00E27D3B"/>
    <w:rsid w:val="00E30E3E"/>
    <w:rsid w:val="00E3143C"/>
    <w:rsid w:val="00E319A8"/>
    <w:rsid w:val="00E31AA7"/>
    <w:rsid w:val="00E324E3"/>
    <w:rsid w:val="00E32727"/>
    <w:rsid w:val="00E35F1F"/>
    <w:rsid w:val="00E37D46"/>
    <w:rsid w:val="00E40368"/>
    <w:rsid w:val="00E4268B"/>
    <w:rsid w:val="00E42DEF"/>
    <w:rsid w:val="00E438FA"/>
    <w:rsid w:val="00E44E11"/>
    <w:rsid w:val="00E508CB"/>
    <w:rsid w:val="00E52376"/>
    <w:rsid w:val="00E535D9"/>
    <w:rsid w:val="00E55115"/>
    <w:rsid w:val="00E562E9"/>
    <w:rsid w:val="00E566A8"/>
    <w:rsid w:val="00E56795"/>
    <w:rsid w:val="00E60742"/>
    <w:rsid w:val="00E62630"/>
    <w:rsid w:val="00E71D96"/>
    <w:rsid w:val="00E745B9"/>
    <w:rsid w:val="00E80BDE"/>
    <w:rsid w:val="00E80CF1"/>
    <w:rsid w:val="00E85A59"/>
    <w:rsid w:val="00E95500"/>
    <w:rsid w:val="00E97DBD"/>
    <w:rsid w:val="00EA0EA6"/>
    <w:rsid w:val="00EA16AE"/>
    <w:rsid w:val="00EA27E3"/>
    <w:rsid w:val="00EA2D36"/>
    <w:rsid w:val="00EA3144"/>
    <w:rsid w:val="00EA4545"/>
    <w:rsid w:val="00EA542C"/>
    <w:rsid w:val="00EA5FAE"/>
    <w:rsid w:val="00EA6661"/>
    <w:rsid w:val="00EA7A00"/>
    <w:rsid w:val="00EB0D83"/>
    <w:rsid w:val="00EB1F9C"/>
    <w:rsid w:val="00EB230A"/>
    <w:rsid w:val="00EC14DD"/>
    <w:rsid w:val="00EC221A"/>
    <w:rsid w:val="00EC2A11"/>
    <w:rsid w:val="00EC36EF"/>
    <w:rsid w:val="00EC3FCA"/>
    <w:rsid w:val="00EC4E41"/>
    <w:rsid w:val="00ED18CB"/>
    <w:rsid w:val="00ED1B75"/>
    <w:rsid w:val="00ED1DEE"/>
    <w:rsid w:val="00EE108B"/>
    <w:rsid w:val="00EE23CA"/>
    <w:rsid w:val="00EE272E"/>
    <w:rsid w:val="00EE30F0"/>
    <w:rsid w:val="00EE40F7"/>
    <w:rsid w:val="00EE543C"/>
    <w:rsid w:val="00EF06FE"/>
    <w:rsid w:val="00EF0F9F"/>
    <w:rsid w:val="00EF1F54"/>
    <w:rsid w:val="00EF4447"/>
    <w:rsid w:val="00EF51FE"/>
    <w:rsid w:val="00EF645F"/>
    <w:rsid w:val="00EF7F03"/>
    <w:rsid w:val="00F06007"/>
    <w:rsid w:val="00F067EF"/>
    <w:rsid w:val="00F06B21"/>
    <w:rsid w:val="00F10463"/>
    <w:rsid w:val="00F12D1C"/>
    <w:rsid w:val="00F14B06"/>
    <w:rsid w:val="00F21145"/>
    <w:rsid w:val="00F237C2"/>
    <w:rsid w:val="00F33B1A"/>
    <w:rsid w:val="00F343E9"/>
    <w:rsid w:val="00F344D5"/>
    <w:rsid w:val="00F413A2"/>
    <w:rsid w:val="00F41E22"/>
    <w:rsid w:val="00F437B7"/>
    <w:rsid w:val="00F451AC"/>
    <w:rsid w:val="00F50DE8"/>
    <w:rsid w:val="00F5220F"/>
    <w:rsid w:val="00F525B8"/>
    <w:rsid w:val="00F53DF6"/>
    <w:rsid w:val="00F57D5F"/>
    <w:rsid w:val="00F64422"/>
    <w:rsid w:val="00F73758"/>
    <w:rsid w:val="00F74A4C"/>
    <w:rsid w:val="00F766D0"/>
    <w:rsid w:val="00F76822"/>
    <w:rsid w:val="00F77DD0"/>
    <w:rsid w:val="00F80927"/>
    <w:rsid w:val="00F832D1"/>
    <w:rsid w:val="00F83E8B"/>
    <w:rsid w:val="00F84B99"/>
    <w:rsid w:val="00F8609F"/>
    <w:rsid w:val="00F86B59"/>
    <w:rsid w:val="00F95E8D"/>
    <w:rsid w:val="00FA240A"/>
    <w:rsid w:val="00FA47DA"/>
    <w:rsid w:val="00FA4824"/>
    <w:rsid w:val="00FA4922"/>
    <w:rsid w:val="00FA4C6D"/>
    <w:rsid w:val="00FB0C19"/>
    <w:rsid w:val="00FB1D70"/>
    <w:rsid w:val="00FB2024"/>
    <w:rsid w:val="00FB48CA"/>
    <w:rsid w:val="00FC3737"/>
    <w:rsid w:val="00FC413F"/>
    <w:rsid w:val="00FC66AC"/>
    <w:rsid w:val="00FD082E"/>
    <w:rsid w:val="00FD0FB5"/>
    <w:rsid w:val="00FD1869"/>
    <w:rsid w:val="00FD52EC"/>
    <w:rsid w:val="00FD53F7"/>
    <w:rsid w:val="00FD777A"/>
    <w:rsid w:val="00FE090E"/>
    <w:rsid w:val="00FE1ACA"/>
    <w:rsid w:val="00FE1BB9"/>
    <w:rsid w:val="00FE3B2D"/>
    <w:rsid w:val="00FE5384"/>
    <w:rsid w:val="00FF4F90"/>
    <w:rsid w:val="00FF5EDB"/>
    <w:rsid w:val="00FF68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53644D7-060F-4D03-AB7D-EC480F2C6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 w:type="character" w:styleId="Nmerodelnea">
    <w:name w:val="line number"/>
    <w:basedOn w:val="Fuentedeprrafopredeter"/>
    <w:uiPriority w:val="99"/>
    <w:semiHidden/>
    <w:unhideWhenUsed/>
    <w:rsid w:val="005F4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58">
      <w:bodyDiv w:val="1"/>
      <w:marLeft w:val="0"/>
      <w:marRight w:val="0"/>
      <w:marTop w:val="0"/>
      <w:marBottom w:val="0"/>
      <w:divBdr>
        <w:top w:val="none" w:sz="0" w:space="0" w:color="auto"/>
        <w:left w:val="none" w:sz="0" w:space="0" w:color="auto"/>
        <w:bottom w:val="none" w:sz="0" w:space="0" w:color="auto"/>
        <w:right w:val="none" w:sz="0" w:space="0" w:color="auto"/>
      </w:divBdr>
    </w:div>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03891471">
      <w:bodyDiv w:val="1"/>
      <w:marLeft w:val="0"/>
      <w:marRight w:val="0"/>
      <w:marTop w:val="0"/>
      <w:marBottom w:val="0"/>
      <w:divBdr>
        <w:top w:val="none" w:sz="0" w:space="0" w:color="auto"/>
        <w:left w:val="none" w:sz="0" w:space="0" w:color="auto"/>
        <w:bottom w:val="none" w:sz="0" w:space="0" w:color="auto"/>
        <w:right w:val="none" w:sz="0" w:space="0" w:color="auto"/>
      </w:divBdr>
    </w:div>
    <w:div w:id="105316843">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136843202">
      <w:bodyDiv w:val="1"/>
      <w:marLeft w:val="0"/>
      <w:marRight w:val="0"/>
      <w:marTop w:val="0"/>
      <w:marBottom w:val="0"/>
      <w:divBdr>
        <w:top w:val="none" w:sz="0" w:space="0" w:color="auto"/>
        <w:left w:val="none" w:sz="0" w:space="0" w:color="auto"/>
        <w:bottom w:val="none" w:sz="0" w:space="0" w:color="auto"/>
        <w:right w:val="none" w:sz="0" w:space="0" w:color="auto"/>
      </w:divBdr>
    </w:div>
    <w:div w:id="141894818">
      <w:bodyDiv w:val="1"/>
      <w:marLeft w:val="0"/>
      <w:marRight w:val="0"/>
      <w:marTop w:val="0"/>
      <w:marBottom w:val="0"/>
      <w:divBdr>
        <w:top w:val="none" w:sz="0" w:space="0" w:color="auto"/>
        <w:left w:val="none" w:sz="0" w:space="0" w:color="auto"/>
        <w:bottom w:val="none" w:sz="0" w:space="0" w:color="auto"/>
        <w:right w:val="none" w:sz="0" w:space="0" w:color="auto"/>
      </w:divBdr>
    </w:div>
    <w:div w:id="151802257">
      <w:bodyDiv w:val="1"/>
      <w:marLeft w:val="0"/>
      <w:marRight w:val="0"/>
      <w:marTop w:val="0"/>
      <w:marBottom w:val="0"/>
      <w:divBdr>
        <w:top w:val="none" w:sz="0" w:space="0" w:color="auto"/>
        <w:left w:val="none" w:sz="0" w:space="0" w:color="auto"/>
        <w:bottom w:val="none" w:sz="0" w:space="0" w:color="auto"/>
        <w:right w:val="none" w:sz="0" w:space="0" w:color="auto"/>
      </w:divBdr>
    </w:div>
    <w:div w:id="170535872">
      <w:bodyDiv w:val="1"/>
      <w:marLeft w:val="0"/>
      <w:marRight w:val="0"/>
      <w:marTop w:val="0"/>
      <w:marBottom w:val="0"/>
      <w:divBdr>
        <w:top w:val="none" w:sz="0" w:space="0" w:color="auto"/>
        <w:left w:val="none" w:sz="0" w:space="0" w:color="auto"/>
        <w:bottom w:val="none" w:sz="0" w:space="0" w:color="auto"/>
        <w:right w:val="none" w:sz="0" w:space="0" w:color="auto"/>
      </w:divBdr>
    </w:div>
    <w:div w:id="268395248">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57123460">
      <w:bodyDiv w:val="1"/>
      <w:marLeft w:val="0"/>
      <w:marRight w:val="0"/>
      <w:marTop w:val="0"/>
      <w:marBottom w:val="0"/>
      <w:divBdr>
        <w:top w:val="none" w:sz="0" w:space="0" w:color="auto"/>
        <w:left w:val="none" w:sz="0" w:space="0" w:color="auto"/>
        <w:bottom w:val="none" w:sz="0" w:space="0" w:color="auto"/>
        <w:right w:val="none" w:sz="0" w:space="0" w:color="auto"/>
      </w:divBdr>
    </w:div>
    <w:div w:id="379012021">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464586509">
      <w:bodyDiv w:val="1"/>
      <w:marLeft w:val="0"/>
      <w:marRight w:val="0"/>
      <w:marTop w:val="0"/>
      <w:marBottom w:val="0"/>
      <w:divBdr>
        <w:top w:val="none" w:sz="0" w:space="0" w:color="auto"/>
        <w:left w:val="none" w:sz="0" w:space="0" w:color="auto"/>
        <w:bottom w:val="none" w:sz="0" w:space="0" w:color="auto"/>
        <w:right w:val="none" w:sz="0" w:space="0" w:color="auto"/>
      </w:divBdr>
    </w:div>
    <w:div w:id="579607475">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758984077">
      <w:bodyDiv w:val="1"/>
      <w:marLeft w:val="0"/>
      <w:marRight w:val="0"/>
      <w:marTop w:val="0"/>
      <w:marBottom w:val="0"/>
      <w:divBdr>
        <w:top w:val="none" w:sz="0" w:space="0" w:color="auto"/>
        <w:left w:val="none" w:sz="0" w:space="0" w:color="auto"/>
        <w:bottom w:val="none" w:sz="0" w:space="0" w:color="auto"/>
        <w:right w:val="none" w:sz="0" w:space="0" w:color="auto"/>
      </w:divBdr>
    </w:div>
    <w:div w:id="84832929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30971438">
      <w:bodyDiv w:val="1"/>
      <w:marLeft w:val="0"/>
      <w:marRight w:val="0"/>
      <w:marTop w:val="0"/>
      <w:marBottom w:val="0"/>
      <w:divBdr>
        <w:top w:val="none" w:sz="0" w:space="0" w:color="auto"/>
        <w:left w:val="none" w:sz="0" w:space="0" w:color="auto"/>
        <w:bottom w:val="none" w:sz="0" w:space="0" w:color="auto"/>
        <w:right w:val="none" w:sz="0" w:space="0" w:color="auto"/>
      </w:divBdr>
    </w:div>
    <w:div w:id="933979398">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44983491">
      <w:bodyDiv w:val="1"/>
      <w:marLeft w:val="0"/>
      <w:marRight w:val="0"/>
      <w:marTop w:val="0"/>
      <w:marBottom w:val="0"/>
      <w:divBdr>
        <w:top w:val="none" w:sz="0" w:space="0" w:color="auto"/>
        <w:left w:val="none" w:sz="0" w:space="0" w:color="auto"/>
        <w:bottom w:val="none" w:sz="0" w:space="0" w:color="auto"/>
        <w:right w:val="none" w:sz="0" w:space="0" w:color="auto"/>
      </w:divBdr>
    </w:div>
    <w:div w:id="1076979015">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197625535">
      <w:bodyDiv w:val="1"/>
      <w:marLeft w:val="0"/>
      <w:marRight w:val="0"/>
      <w:marTop w:val="0"/>
      <w:marBottom w:val="0"/>
      <w:divBdr>
        <w:top w:val="none" w:sz="0" w:space="0" w:color="auto"/>
        <w:left w:val="none" w:sz="0" w:space="0" w:color="auto"/>
        <w:bottom w:val="none" w:sz="0" w:space="0" w:color="auto"/>
        <w:right w:val="none" w:sz="0" w:space="0" w:color="auto"/>
      </w:divBdr>
    </w:div>
    <w:div w:id="1206256331">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244220147">
      <w:bodyDiv w:val="1"/>
      <w:marLeft w:val="0"/>
      <w:marRight w:val="0"/>
      <w:marTop w:val="0"/>
      <w:marBottom w:val="0"/>
      <w:divBdr>
        <w:top w:val="none" w:sz="0" w:space="0" w:color="auto"/>
        <w:left w:val="none" w:sz="0" w:space="0" w:color="auto"/>
        <w:bottom w:val="none" w:sz="0" w:space="0" w:color="auto"/>
        <w:right w:val="none" w:sz="0" w:space="0" w:color="auto"/>
      </w:divBdr>
    </w:div>
    <w:div w:id="1251113980">
      <w:bodyDiv w:val="1"/>
      <w:marLeft w:val="0"/>
      <w:marRight w:val="0"/>
      <w:marTop w:val="0"/>
      <w:marBottom w:val="0"/>
      <w:divBdr>
        <w:top w:val="none" w:sz="0" w:space="0" w:color="auto"/>
        <w:left w:val="none" w:sz="0" w:space="0" w:color="auto"/>
        <w:bottom w:val="none" w:sz="0" w:space="0" w:color="auto"/>
        <w:right w:val="none" w:sz="0" w:space="0" w:color="auto"/>
      </w:divBdr>
    </w:div>
    <w:div w:id="1347714617">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364090511">
      <w:bodyDiv w:val="1"/>
      <w:marLeft w:val="0"/>
      <w:marRight w:val="0"/>
      <w:marTop w:val="0"/>
      <w:marBottom w:val="0"/>
      <w:divBdr>
        <w:top w:val="none" w:sz="0" w:space="0" w:color="auto"/>
        <w:left w:val="none" w:sz="0" w:space="0" w:color="auto"/>
        <w:bottom w:val="none" w:sz="0" w:space="0" w:color="auto"/>
        <w:right w:val="none" w:sz="0" w:space="0" w:color="auto"/>
      </w:divBdr>
    </w:div>
    <w:div w:id="1396660415">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669482645">
      <w:bodyDiv w:val="1"/>
      <w:marLeft w:val="0"/>
      <w:marRight w:val="0"/>
      <w:marTop w:val="0"/>
      <w:marBottom w:val="0"/>
      <w:divBdr>
        <w:top w:val="none" w:sz="0" w:space="0" w:color="auto"/>
        <w:left w:val="none" w:sz="0" w:space="0" w:color="auto"/>
        <w:bottom w:val="none" w:sz="0" w:space="0" w:color="auto"/>
        <w:right w:val="none" w:sz="0" w:space="0" w:color="auto"/>
      </w:divBdr>
    </w:div>
    <w:div w:id="1669863488">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6080818">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737319670">
      <w:bodyDiv w:val="1"/>
      <w:marLeft w:val="0"/>
      <w:marRight w:val="0"/>
      <w:marTop w:val="0"/>
      <w:marBottom w:val="0"/>
      <w:divBdr>
        <w:top w:val="none" w:sz="0" w:space="0" w:color="auto"/>
        <w:left w:val="none" w:sz="0" w:space="0" w:color="auto"/>
        <w:bottom w:val="none" w:sz="0" w:space="0" w:color="auto"/>
        <w:right w:val="none" w:sz="0" w:space="0" w:color="auto"/>
      </w:divBdr>
    </w:div>
    <w:div w:id="1741827221">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5973043">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1903060130">
      <w:bodyDiv w:val="1"/>
      <w:marLeft w:val="0"/>
      <w:marRight w:val="0"/>
      <w:marTop w:val="0"/>
      <w:marBottom w:val="0"/>
      <w:divBdr>
        <w:top w:val="none" w:sz="0" w:space="0" w:color="auto"/>
        <w:left w:val="none" w:sz="0" w:space="0" w:color="auto"/>
        <w:bottom w:val="none" w:sz="0" w:space="0" w:color="auto"/>
        <w:right w:val="none" w:sz="0" w:space="0" w:color="auto"/>
      </w:divBdr>
    </w:div>
    <w:div w:id="1948274447">
      <w:bodyDiv w:val="1"/>
      <w:marLeft w:val="0"/>
      <w:marRight w:val="0"/>
      <w:marTop w:val="0"/>
      <w:marBottom w:val="0"/>
      <w:divBdr>
        <w:top w:val="none" w:sz="0" w:space="0" w:color="auto"/>
        <w:left w:val="none" w:sz="0" w:space="0" w:color="auto"/>
        <w:bottom w:val="none" w:sz="0" w:space="0" w:color="auto"/>
        <w:right w:val="none" w:sz="0" w:space="0" w:color="auto"/>
      </w:divBdr>
    </w:div>
    <w:div w:id="1952474380">
      <w:bodyDiv w:val="1"/>
      <w:marLeft w:val="0"/>
      <w:marRight w:val="0"/>
      <w:marTop w:val="0"/>
      <w:marBottom w:val="0"/>
      <w:divBdr>
        <w:top w:val="none" w:sz="0" w:space="0" w:color="auto"/>
        <w:left w:val="none" w:sz="0" w:space="0" w:color="auto"/>
        <w:bottom w:val="none" w:sz="0" w:space="0" w:color="auto"/>
        <w:right w:val="none" w:sz="0" w:space="0" w:color="auto"/>
      </w:divBdr>
    </w:div>
    <w:div w:id="1960532434">
      <w:bodyDiv w:val="1"/>
      <w:marLeft w:val="0"/>
      <w:marRight w:val="0"/>
      <w:marTop w:val="0"/>
      <w:marBottom w:val="0"/>
      <w:divBdr>
        <w:top w:val="none" w:sz="0" w:space="0" w:color="auto"/>
        <w:left w:val="none" w:sz="0" w:space="0" w:color="auto"/>
        <w:bottom w:val="none" w:sz="0" w:space="0" w:color="auto"/>
        <w:right w:val="none" w:sz="0" w:space="0" w:color="auto"/>
      </w:divBdr>
    </w:div>
    <w:div w:id="1966887058">
      <w:bodyDiv w:val="1"/>
      <w:marLeft w:val="0"/>
      <w:marRight w:val="0"/>
      <w:marTop w:val="0"/>
      <w:marBottom w:val="0"/>
      <w:divBdr>
        <w:top w:val="none" w:sz="0" w:space="0" w:color="auto"/>
        <w:left w:val="none" w:sz="0" w:space="0" w:color="auto"/>
        <w:bottom w:val="none" w:sz="0" w:space="0" w:color="auto"/>
        <w:right w:val="none" w:sz="0" w:space="0" w:color="auto"/>
      </w:divBdr>
    </w:div>
    <w:div w:id="2134444713">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image" Target="../media/image3.jpeg"/></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image" Target="../media/image3.jpeg"/></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12601000000</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5761075127</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671895905</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#,##0</c:formatCode>
                <c:ptCount val="1"/>
                <c:pt idx="0">
                  <c:v>17690179222</c:v>
                </c:pt>
              </c:numCache>
            </c:numRef>
          </c:val>
        </c:ser>
        <c:dLbls>
          <c:showLegendKey val="0"/>
          <c:showVal val="0"/>
          <c:showCatName val="0"/>
          <c:showSerName val="0"/>
          <c:showPercent val="0"/>
          <c:showBubbleSize val="0"/>
        </c:dLbls>
        <c:gapWidth val="150"/>
        <c:shape val="pyramid"/>
        <c:axId val="-341940496"/>
        <c:axId val="-341939952"/>
        <c:axId val="-342384784"/>
      </c:bar3DChart>
      <c:catAx>
        <c:axId val="-341940496"/>
        <c:scaling>
          <c:orientation val="minMax"/>
        </c:scaling>
        <c:delete val="0"/>
        <c:axPos val="b"/>
        <c:numFmt formatCode="General" sourceLinked="0"/>
        <c:majorTickMark val="out"/>
        <c:minorTickMark val="none"/>
        <c:tickLblPos val="nextTo"/>
        <c:crossAx val="-341939952"/>
        <c:crosses val="autoZero"/>
        <c:auto val="1"/>
        <c:lblAlgn val="ctr"/>
        <c:lblOffset val="100"/>
        <c:noMultiLvlLbl val="0"/>
      </c:catAx>
      <c:valAx>
        <c:axId val="-341939952"/>
        <c:scaling>
          <c:orientation val="minMax"/>
        </c:scaling>
        <c:delete val="0"/>
        <c:axPos val="l"/>
        <c:majorGridlines/>
        <c:numFmt formatCode="_(* #,##0_);_(* \(#,##0\);_(* &quot;-&quot;??_);_(@_)" sourceLinked="1"/>
        <c:majorTickMark val="out"/>
        <c:minorTickMark val="none"/>
        <c:tickLblPos val="nextTo"/>
        <c:crossAx val="-341940496"/>
        <c:crosses val="autoZero"/>
        <c:crossBetween val="between"/>
      </c:valAx>
      <c:serAx>
        <c:axId val="-342384784"/>
        <c:scaling>
          <c:orientation val="minMax"/>
        </c:scaling>
        <c:delete val="0"/>
        <c:axPos val="b"/>
        <c:majorTickMark val="out"/>
        <c:minorTickMark val="none"/>
        <c:tickLblPos val="nextTo"/>
        <c:crossAx val="-341939952"/>
        <c:crosses val="autoZero"/>
      </c:serAx>
    </c:plotArea>
    <c:legend>
      <c:legendPos val="r"/>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PRESUPUESTO INICIAL</c:v>
                </c:pt>
              </c:strCache>
            </c:strRef>
          </c:tx>
          <c:dLbls>
            <c:dLbl>
              <c:idx val="0"/>
              <c:layout>
                <c:manualLayout>
                  <c:x val="-9.6396726450860309E-2"/>
                  <c:y val="0.16157636545431822"/>
                </c:manualLayout>
              </c:layout>
              <c:tx>
                <c:rich>
                  <a:bodyPr/>
                  <a:lstStyle/>
                  <a:p>
                    <a:r>
                      <a:rPr lang="en-US"/>
                      <a:t>Ing. Tributarios  
</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tx>
                <c:rich>
                  <a:bodyPr/>
                  <a:lstStyle/>
                  <a:p>
                    <a:r>
                      <a:rPr lang="en-US"/>
                      <a:t>Ing. No Tributarios </a:t>
                    </a:r>
                  </a:p>
                </c:rich>
              </c:tx>
              <c:showLegendKey val="0"/>
              <c:showVal val="1"/>
              <c:showCatName val="1"/>
              <c:showSerName val="0"/>
              <c:showPercent val="1"/>
              <c:showBubbleSize val="0"/>
              <c:extLst>
                <c:ext xmlns:c15="http://schemas.microsoft.com/office/drawing/2012/chart" uri="{CE6537A1-D6FC-4f65-9D91-7224C49458BB}">
                  <c15:layout/>
                </c:ext>
              </c:extLst>
            </c:dLbl>
            <c:dLbl>
              <c:idx val="2"/>
              <c:layout>
                <c:manualLayout>
                  <c:x val="0.135595836978711"/>
                  <c:y val="-0.15488438945131858"/>
                </c:manualLayout>
              </c:layout>
              <c:tx>
                <c:rich>
                  <a:bodyPr/>
                  <a:lstStyle/>
                  <a:p>
                    <a:r>
                      <a:rPr lang="en-US"/>
                      <a:t>Fondo Local de Salud</a:t>
                    </a:r>
                  </a:p>
                </c:rich>
              </c:tx>
              <c:showLegendKey val="0"/>
              <c:showVal val="0"/>
              <c:showCatName val="1"/>
              <c:showSerName val="0"/>
              <c:showPercent val="1"/>
              <c:showBubbleSize val="0"/>
              <c:extLst>
                <c:ext xmlns:c15="http://schemas.microsoft.com/office/drawing/2012/chart" uri="{CE6537A1-D6FC-4f65-9D91-7224C49458BB}">
                  <c15:layout/>
                </c:ext>
              </c:extLst>
            </c:dLbl>
            <c:dLbl>
              <c:idx val="3"/>
              <c:layout/>
              <c:tx>
                <c:rich>
                  <a:bodyPr/>
                  <a:lstStyle/>
                  <a:p>
                    <a:r>
                      <a:rPr lang="en-US"/>
                      <a:t>Ingresos de Capital</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0"/>
            <c:extLst>
              <c:ext xmlns:c15="http://schemas.microsoft.com/office/drawing/2012/chart" uri="{CE6537A1-D6FC-4f65-9D91-7224C49458BB}"/>
            </c:extLst>
          </c:dLbls>
          <c:cat>
            <c:strRef>
              <c:f>Hoja1!$A$2:$A$5</c:f>
              <c:strCache>
                <c:ptCount val="4"/>
                <c:pt idx="0">
                  <c:v>Ing. Tributarios     18.54%</c:v>
                </c:pt>
                <c:pt idx="1">
                  <c:v>Ing. No Tributarios   29.59%</c:v>
                </c:pt>
                <c:pt idx="2">
                  <c:v>Fondo Local de Salud   30.44%</c:v>
                </c:pt>
                <c:pt idx="3">
                  <c:v>Ingresos de Capital    21.43%</c:v>
                </c:pt>
              </c:strCache>
            </c:strRef>
          </c:cat>
          <c:val>
            <c:numRef>
              <c:f>Hoja1!$B$2:$B$5</c:f>
              <c:numCache>
                <c:formatCode>_(* #,##0_);_(* \(#,##0\);_(* "-"??_);_(@_)</c:formatCode>
                <c:ptCount val="4"/>
                <c:pt idx="0">
                  <c:v>2336000000</c:v>
                </c:pt>
                <c:pt idx="1">
                  <c:v>3729000000</c:v>
                </c:pt>
                <c:pt idx="2">
                  <c:v>3836000000</c:v>
                </c:pt>
                <c:pt idx="3">
                  <c:v>2700000000</c:v>
                </c:pt>
              </c:numCache>
            </c:numRef>
          </c:val>
        </c:ser>
        <c:dLbls>
          <c:showLegendKey val="0"/>
          <c:showVal val="0"/>
          <c:showCatName val="0"/>
          <c:showSerName val="0"/>
          <c:showPercent val="1"/>
          <c:showBubbleSize val="0"/>
          <c:showLeaderLines val="0"/>
        </c:dLbls>
        <c:firstSliceAng val="0"/>
      </c:pieChart>
    </c:plotArea>
    <c:legend>
      <c:legendPos val="r"/>
      <c:layout/>
      <c:overlay val="0"/>
    </c:legend>
    <c:plotVisOnly val="1"/>
    <c:dispBlanksAs val="gap"/>
    <c:showDLblsOverMax val="0"/>
  </c:chart>
  <c:spPr>
    <a:gradFill>
      <a:gsLst>
        <a:gs pos="0">
          <a:srgbClr val="E6DCAC"/>
        </a:gs>
        <a:gs pos="12000">
          <a:srgbClr val="E6D78A"/>
        </a:gs>
        <a:gs pos="30000">
          <a:srgbClr val="C7AC4C"/>
        </a:gs>
        <a:gs pos="45000">
          <a:srgbClr val="E6D78A"/>
        </a:gs>
        <a:gs pos="77000">
          <a:srgbClr val="C7AC4C"/>
        </a:gs>
        <a:gs pos="100000">
          <a:srgbClr val="E6DCAC"/>
        </a:gs>
      </a:gsLst>
      <a:lin ang="5400000" scaled="0"/>
    </a:gra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title>
      <c:tx>
        <c:rich>
          <a:bodyPr/>
          <a:lstStyle/>
          <a:p>
            <a:pPr>
              <a:defRPr/>
            </a:pPr>
            <a:r>
              <a:rPr lang="en-US"/>
              <a:t>FUENTES DE FINANCIACION PRESUPUESTO</a:t>
            </a:r>
          </a:p>
        </c:rich>
      </c:tx>
      <c:layout/>
      <c:overlay val="0"/>
    </c:title>
    <c:autoTitleDeleted val="0"/>
    <c:plotArea>
      <c:layout/>
      <c:barChart>
        <c:barDir val="col"/>
        <c:grouping val="clustered"/>
        <c:varyColors val="0"/>
        <c:ser>
          <c:idx val="0"/>
          <c:order val="0"/>
          <c:tx>
            <c:strRef>
              <c:f>Hoja1!$B$1</c:f>
              <c:strCache>
                <c:ptCount val="1"/>
                <c:pt idx="0">
                  <c:v>Serie 1</c:v>
                </c:pt>
              </c:strCache>
            </c:strRef>
          </c:tx>
          <c:invertIfNegative val="0"/>
          <c:cat>
            <c:strRef>
              <c:f>Hoja1!$A$2:$A$3</c:f>
              <c:strCache>
                <c:ptCount val="2"/>
                <c:pt idx="0">
                  <c:v>Ingresos Tributarios</c:v>
                </c:pt>
                <c:pt idx="1">
                  <c:v>Ingresos No Tributarios</c:v>
                </c:pt>
              </c:strCache>
            </c:strRef>
          </c:cat>
          <c:val>
            <c:numRef>
              <c:f>Hoja1!$B$2:$B$3</c:f>
              <c:numCache>
                <c:formatCode>General</c:formatCode>
                <c:ptCount val="2"/>
                <c:pt idx="0">
                  <c:v>2845</c:v>
                </c:pt>
                <c:pt idx="1">
                  <c:v>3715</c:v>
                </c:pt>
              </c:numCache>
            </c:numRef>
          </c:val>
        </c:ser>
        <c:dLbls>
          <c:showLegendKey val="0"/>
          <c:showVal val="0"/>
          <c:showCatName val="0"/>
          <c:showSerName val="0"/>
          <c:showPercent val="0"/>
          <c:showBubbleSize val="0"/>
        </c:dLbls>
        <c:gapWidth val="150"/>
        <c:axId val="-341949744"/>
        <c:axId val="-342088944"/>
      </c:barChart>
      <c:catAx>
        <c:axId val="-341949744"/>
        <c:scaling>
          <c:orientation val="minMax"/>
        </c:scaling>
        <c:delete val="0"/>
        <c:axPos val="b"/>
        <c:numFmt formatCode="General" sourceLinked="0"/>
        <c:majorTickMark val="none"/>
        <c:minorTickMark val="none"/>
        <c:tickLblPos val="nextTo"/>
        <c:crossAx val="-342088944"/>
        <c:crosses val="autoZero"/>
        <c:auto val="1"/>
        <c:lblAlgn val="ctr"/>
        <c:lblOffset val="100"/>
        <c:noMultiLvlLbl val="0"/>
      </c:catAx>
      <c:valAx>
        <c:axId val="-342088944"/>
        <c:scaling>
          <c:orientation val="minMax"/>
        </c:scaling>
        <c:delete val="0"/>
        <c:axPos val="l"/>
        <c:majorGridlines/>
        <c:numFmt formatCode="General" sourceLinked="1"/>
        <c:majorTickMark val="none"/>
        <c:minorTickMark val="none"/>
        <c:tickLblPos val="nextTo"/>
        <c:crossAx val="-341949744"/>
        <c:crosses val="autoZero"/>
        <c:crossBetween val="between"/>
      </c:valAx>
      <c:spPr>
        <a:noFill/>
        <a:ln w="25400">
          <a:noFill/>
        </a:ln>
      </c:spPr>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INGRESOS NO TRIBUTARIOS</a:t>
            </a:r>
          </a:p>
        </c:rich>
      </c:tx>
      <c:layout/>
      <c:overlay val="0"/>
    </c:title>
    <c:autoTitleDeleted val="0"/>
    <c:plotArea>
      <c:layout/>
      <c:pieChart>
        <c:varyColors val="1"/>
        <c:ser>
          <c:idx val="0"/>
          <c:order val="0"/>
          <c:tx>
            <c:strRef>
              <c:f>Hoja1!$B$1</c:f>
              <c:strCache>
                <c:ptCount val="1"/>
                <c:pt idx="0">
                  <c:v>Ventas</c:v>
                </c:pt>
              </c:strCache>
            </c:strRef>
          </c:tx>
          <c:dLbls>
            <c:dLbl>
              <c:idx val="0"/>
              <c:layout/>
              <c:tx>
                <c:rich>
                  <a:bodyPr/>
                  <a:lstStyle/>
                  <a:p>
                    <a:r>
                      <a:rPr lang="en-US"/>
                      <a:t>S.G.P
</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manualLayout>
                  <c:x val="0.13187623263193796"/>
                  <c:y val="0.11751968503937008"/>
                </c:manualLayout>
              </c:layout>
              <c:tx>
                <c:rich>
                  <a:bodyPr/>
                  <a:lstStyle/>
                  <a:p>
                    <a:r>
                      <a:rPr lang="en-US"/>
                      <a:t>Fonfo Local de Salud
</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Hoja1!$A$2:$A$3</c:f>
              <c:strCache>
                <c:ptCount val="2"/>
                <c:pt idx="0">
                  <c:v>S.G.P</c:v>
                </c:pt>
                <c:pt idx="1">
                  <c:v>Fonfo Local de Salud</c:v>
                </c:pt>
              </c:strCache>
            </c:strRef>
          </c:cat>
          <c:val>
            <c:numRef>
              <c:f>Hoja1!$B$2:$B$3</c:f>
              <c:numCache>
                <c:formatCode>_(* #,##0_);_(* \(#,##0\);_(* "-"??_);_(@_)</c:formatCode>
                <c:ptCount val="2"/>
                <c:pt idx="0">
                  <c:v>3579</c:v>
                </c:pt>
                <c:pt idx="1">
                  <c:v>2571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autoTitleDeleted val="1"/>
    <c:plotArea>
      <c:layout/>
      <c:barChart>
        <c:barDir val="col"/>
        <c:grouping val="clustered"/>
        <c:varyColors val="0"/>
        <c:ser>
          <c:idx val="0"/>
          <c:order val="0"/>
          <c:tx>
            <c:strRef>
              <c:f>Hoja1!$B$1</c:f>
              <c:strCache>
                <c:ptCount val="1"/>
                <c:pt idx="0">
                  <c:v>Serie 1</c:v>
                </c:pt>
              </c:strCache>
            </c:strRef>
          </c:tx>
          <c:invertIfNegative val="0"/>
          <c:cat>
            <c:strRef>
              <c:f>Hoja1!$A$2:$A$5</c:f>
              <c:strCache>
                <c:ptCount val="4"/>
                <c:pt idx="0">
                  <c:v>Ppto Inicial</c:v>
                </c:pt>
                <c:pt idx="1">
                  <c:v>Ppto Definitivo</c:v>
                </c:pt>
                <c:pt idx="2">
                  <c:v>Total Recaudado</c:v>
                </c:pt>
                <c:pt idx="3">
                  <c:v>Por Recaudar</c:v>
                </c:pt>
              </c:strCache>
            </c:strRef>
          </c:cat>
          <c:val>
            <c:numRef>
              <c:f>Hoja1!$B$2:$B$5</c:f>
              <c:numCache>
                <c:formatCode>General</c:formatCode>
                <c:ptCount val="4"/>
                <c:pt idx="0">
                  <c:v>12601</c:v>
                </c:pt>
                <c:pt idx="1">
                  <c:v>17690</c:v>
                </c:pt>
                <c:pt idx="2">
                  <c:v>15766</c:v>
                </c:pt>
                <c:pt idx="3">
                  <c:v>1924</c:v>
                </c:pt>
              </c:numCache>
            </c:numRef>
          </c:val>
        </c:ser>
        <c:dLbls>
          <c:showLegendKey val="0"/>
          <c:showVal val="0"/>
          <c:showCatName val="0"/>
          <c:showSerName val="0"/>
          <c:showPercent val="0"/>
          <c:showBubbleSize val="0"/>
        </c:dLbls>
        <c:gapWidth val="75"/>
        <c:axId val="-272397488"/>
        <c:axId val="-272401296"/>
      </c:barChart>
      <c:catAx>
        <c:axId val="-272397488"/>
        <c:scaling>
          <c:orientation val="minMax"/>
        </c:scaling>
        <c:delete val="0"/>
        <c:axPos val="b"/>
        <c:numFmt formatCode="General" sourceLinked="0"/>
        <c:majorTickMark val="none"/>
        <c:minorTickMark val="none"/>
        <c:tickLblPos val="nextTo"/>
        <c:crossAx val="-272401296"/>
        <c:crosses val="autoZero"/>
        <c:auto val="1"/>
        <c:lblAlgn val="ctr"/>
        <c:lblOffset val="100"/>
        <c:noMultiLvlLbl val="0"/>
      </c:catAx>
      <c:valAx>
        <c:axId val="-272401296"/>
        <c:scaling>
          <c:orientation val="minMax"/>
        </c:scaling>
        <c:delete val="0"/>
        <c:axPos val="l"/>
        <c:majorGridlines/>
        <c:numFmt formatCode="General" sourceLinked="1"/>
        <c:majorTickMark val="none"/>
        <c:minorTickMark val="none"/>
        <c:tickLblPos val="nextTo"/>
        <c:crossAx val="-272397488"/>
        <c:crosses val="autoZero"/>
        <c:crossBetween val="between"/>
      </c:valAx>
      <c:spPr>
        <a:blipFill>
          <a:blip xmlns:r="http://schemas.openxmlformats.org/officeDocument/2006/relationships" r:embed="rId1"/>
          <a:tile tx="0" ty="0" sx="100000" sy="100000" flip="none" algn="tl"/>
        </a:blipFill>
      </c:spPr>
    </c:plotArea>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a:pPr>
            <a:r>
              <a:rPr lang="en-US">
                <a:solidFill>
                  <a:srgbClr val="FF0000"/>
                </a:solidFill>
              </a:rPr>
              <a:t>PRESUPUESTO INICIAL</a:t>
            </a:r>
          </a:p>
        </c:rich>
      </c:tx>
      <c:layout/>
      <c:overlay val="0"/>
    </c:title>
    <c:autoTitleDeleted val="0"/>
    <c:plotArea>
      <c:layout/>
      <c:pieChart>
        <c:varyColors val="1"/>
        <c:ser>
          <c:idx val="0"/>
          <c:order val="0"/>
          <c:tx>
            <c:strRef>
              <c:f>Hoja1!$B$1</c:f>
              <c:strCache>
                <c:ptCount val="1"/>
                <c:pt idx="0">
                  <c:v>PRESUPUESTO INICIAL</c:v>
                </c:pt>
              </c:strCache>
            </c:strRef>
          </c:tx>
          <c:explosion val="15"/>
          <c:dLbls>
            <c:dLbl>
              <c:idx val="0"/>
              <c:layout/>
              <c:tx>
                <c:rich>
                  <a:bodyPr/>
                  <a:lstStyle/>
                  <a:p>
                    <a:r>
                      <a:rPr lang="en-US"/>
                      <a:t>26.03%</a:t>
                    </a:r>
                  </a:p>
                </c:rich>
              </c:tx>
              <c:showLegendKey val="0"/>
              <c:showVal val="0"/>
              <c:showCatName val="0"/>
              <c:showSerName val="0"/>
              <c:showPercent val="1"/>
              <c:showBubbleSize val="0"/>
              <c:extLst>
                <c:ext xmlns:c15="http://schemas.microsoft.com/office/drawing/2012/chart" uri="{CE6537A1-D6FC-4f65-9D91-7224C49458BB}">
                  <c15:layout/>
                </c:ext>
              </c:extLst>
            </c:dLbl>
            <c:dLbl>
              <c:idx val="1"/>
              <c:delete val="1"/>
              <c:extLst>
                <c:ext xmlns:c15="http://schemas.microsoft.com/office/drawing/2012/chart" uri="{CE6537A1-D6FC-4f65-9D91-7224C49458BB}"/>
              </c:extLst>
            </c:dLbl>
            <c:dLbl>
              <c:idx val="2"/>
              <c:layout/>
              <c:tx>
                <c:rich>
                  <a:bodyPr/>
                  <a:lstStyle/>
                  <a:p>
                    <a:r>
                      <a:rPr lang="en-US"/>
                      <a:t>72.41%</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Hoja1!$A$2:$A$4</c:f>
              <c:strCache>
                <c:ptCount val="3"/>
                <c:pt idx="0">
                  <c:v>Funcionamiento  15.52%</c:v>
                </c:pt>
                <c:pt idx="1">
                  <c:v>Deuda Pública  3.91%</c:v>
                </c:pt>
                <c:pt idx="2">
                  <c:v>Inversión    80.57%</c:v>
                </c:pt>
              </c:strCache>
            </c:strRef>
          </c:cat>
          <c:val>
            <c:numRef>
              <c:f>Hoja1!$B$2:$B$4</c:f>
              <c:numCache>
                <c:formatCode>General</c:formatCode>
                <c:ptCount val="3"/>
                <c:pt idx="0">
                  <c:v>1956</c:v>
                </c:pt>
                <c:pt idx="1">
                  <c:v>493</c:v>
                </c:pt>
                <c:pt idx="2">
                  <c:v>10152</c:v>
                </c:pt>
              </c:numCache>
            </c:numRef>
          </c:val>
        </c:ser>
        <c:dLbls>
          <c:showLegendKey val="0"/>
          <c:showVal val="0"/>
          <c:showCatName val="0"/>
          <c:showSerName val="0"/>
          <c:showPercent val="1"/>
          <c:showBubbleSize val="0"/>
          <c:showLeaderLines val="1"/>
        </c:dLbls>
        <c:firstSliceAng val="0"/>
      </c:pieChart>
    </c:plotArea>
    <c:legend>
      <c:legendPos val="r"/>
      <c:legendEntry>
        <c:idx val="0"/>
        <c:txPr>
          <a:bodyPr/>
          <a:lstStyle/>
          <a:p>
            <a:pPr>
              <a:defRPr>
                <a:solidFill>
                  <a:srgbClr val="FF0000"/>
                </a:solidFill>
              </a:defRPr>
            </a:pPr>
            <a:endParaRPr lang="es-CO"/>
          </a:p>
        </c:txPr>
      </c:legendEntry>
      <c:legendEntry>
        <c:idx val="1"/>
        <c:txPr>
          <a:bodyPr/>
          <a:lstStyle/>
          <a:p>
            <a:pPr>
              <a:defRPr>
                <a:solidFill>
                  <a:srgbClr val="FF0000"/>
                </a:solidFill>
              </a:defRPr>
            </a:pPr>
            <a:endParaRPr lang="es-CO"/>
          </a:p>
        </c:txPr>
      </c:legendEntry>
      <c:legendEntry>
        <c:idx val="2"/>
        <c:txPr>
          <a:bodyPr/>
          <a:lstStyle/>
          <a:p>
            <a:pPr>
              <a:defRPr>
                <a:solidFill>
                  <a:srgbClr val="FF0000"/>
                </a:solidFill>
              </a:defRPr>
            </a:pPr>
            <a:endParaRPr lang="es-CO"/>
          </a:p>
        </c:txPr>
      </c:legendEntry>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GASTOS DE FUNCIONAMIENTO</a:t>
            </a:r>
          </a:p>
        </c:rich>
      </c:tx>
      <c:layout/>
      <c:overlay val="0"/>
    </c:title>
    <c:autoTitleDeleted val="0"/>
    <c:plotArea>
      <c:layout/>
      <c:pieChart>
        <c:varyColors val="1"/>
        <c:ser>
          <c:idx val="0"/>
          <c:order val="0"/>
          <c:tx>
            <c:strRef>
              <c:f>Hoja1!$B$1</c:f>
              <c:strCache>
                <c:ptCount val="1"/>
                <c:pt idx="0">
                  <c:v>Columna1</c:v>
                </c:pt>
              </c:strCache>
            </c:strRef>
          </c:tx>
          <c:dLbls>
            <c:dLbl>
              <c:idx val="0"/>
              <c:layout/>
              <c:tx>
                <c:rich>
                  <a:bodyPr/>
                  <a:lstStyle/>
                  <a:p>
                    <a:r>
                      <a:rPr lang="en-US"/>
                      <a:t>6.38%</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tx>
                <c:rich>
                  <a:bodyPr/>
                  <a:lstStyle/>
                  <a:p>
                    <a:r>
                      <a:rPr lang="en-US"/>
                      <a:t>3.92%</a:t>
                    </a:r>
                  </a:p>
                </c:rich>
              </c:tx>
              <c:showLegendKey val="0"/>
              <c:showVal val="0"/>
              <c:showCatName val="0"/>
              <c:showSerName val="0"/>
              <c:showPercent val="1"/>
              <c:showBubbleSize val="0"/>
              <c:extLst>
                <c:ext xmlns:c15="http://schemas.microsoft.com/office/drawing/2012/chart" uri="{CE6537A1-D6FC-4f65-9D91-7224C49458BB}">
                  <c15:layout/>
                </c:ext>
              </c:extLst>
            </c:dLbl>
            <c:dLbl>
              <c:idx val="2"/>
              <c:layout/>
              <c:tx>
                <c:rich>
                  <a:bodyPr/>
                  <a:lstStyle/>
                  <a:p>
                    <a:r>
                      <a:rPr lang="en-US"/>
                      <a:t>5.92%</a:t>
                    </a:r>
                  </a:p>
                </c:rich>
              </c:tx>
              <c:showLegendKey val="0"/>
              <c:showVal val="0"/>
              <c:showCatName val="0"/>
              <c:showSerName val="0"/>
              <c:showPercent val="1"/>
              <c:showBubbleSize val="0"/>
              <c:extLst>
                <c:ext xmlns:c15="http://schemas.microsoft.com/office/drawing/2012/chart" uri="{CE6537A1-D6FC-4f65-9D91-7224C49458BB}">
                  <c15:layout/>
                </c:ext>
              </c:extLst>
            </c:dLbl>
            <c:dLbl>
              <c:idx val="3"/>
              <c:tx>
                <c:rich>
                  <a:bodyPr/>
                  <a:lstStyle/>
                  <a:p>
                    <a:r>
                      <a:rPr lang="en-US"/>
                      <a:t>5.6%</a:t>
                    </a:r>
                  </a:p>
                </c:rich>
              </c:tx>
              <c:showLegendKey val="0"/>
              <c:showVal val="0"/>
              <c:showCatName val="0"/>
              <c:showSerName val="0"/>
              <c:showPercent val="1"/>
              <c:showBubbleSize val="0"/>
              <c:extLst>
                <c:ext xmlns:c15="http://schemas.microsoft.com/office/drawing/2012/chart" uri="{CE6537A1-D6FC-4f65-9D91-7224C49458BB}"/>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Hoja1!$A$2:$A$4</c:f>
              <c:strCache>
                <c:ptCount val="3"/>
                <c:pt idx="0">
                  <c:v>Servicios Personales  6.38%</c:v>
                </c:pt>
                <c:pt idx="1">
                  <c:v>Gastos Generales  3.92%</c:v>
                </c:pt>
                <c:pt idx="2">
                  <c:v>Transferencias   5.22%</c:v>
                </c:pt>
              </c:strCache>
            </c:strRef>
          </c:cat>
          <c:val>
            <c:numRef>
              <c:f>Hoja1!$B$2:$B$4</c:f>
              <c:numCache>
                <c:formatCode>General</c:formatCode>
                <c:ptCount val="3"/>
                <c:pt idx="0">
                  <c:v>804</c:v>
                </c:pt>
                <c:pt idx="1">
                  <c:v>494</c:v>
                </c:pt>
                <c:pt idx="2">
                  <c:v>658</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spPr>
    <a:pattFill prst="pct5">
      <a:fgClr>
        <a:schemeClr val="accent1"/>
      </a:fgClr>
      <a:bgClr>
        <a:schemeClr val="bg1"/>
      </a:bgClr>
    </a:pattFill>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tx>
            <c:strRef>
              <c:f>Hoja1!$B$1</c:f>
              <c:strCache>
                <c:ptCount val="1"/>
                <c:pt idx="0">
                  <c:v>Ventas</c:v>
                </c:pt>
              </c:strCache>
            </c:strRef>
          </c:tx>
          <c:dLbls>
            <c:dLbl>
              <c:idx val="0"/>
              <c:layout>
                <c:manualLayout>
                  <c:x val="-5.0989537766112571E-2"/>
                  <c:y val="6.0911761029871267E-2"/>
                </c:manualLayout>
              </c:layout>
              <c:tx>
                <c:rich>
                  <a:bodyPr/>
                  <a:lstStyle/>
                  <a:p>
                    <a:r>
                      <a:rPr lang="en-US"/>
                      <a:t>Educación</a:t>
                    </a:r>
                  </a:p>
                </c:rich>
              </c:tx>
              <c:showLegendKey val="0"/>
              <c:showVal val="1"/>
              <c:showCatName val="1"/>
              <c:showSerName val="0"/>
              <c:showPercent val="0"/>
              <c:showBubbleSize val="0"/>
              <c:extLst>
                <c:ext xmlns:c15="http://schemas.microsoft.com/office/drawing/2012/chart" uri="{CE6537A1-D6FC-4f65-9D91-7224C49458BB}">
                  <c15:layout/>
                </c:ext>
              </c:extLst>
            </c:dLbl>
            <c:dLbl>
              <c:idx val="1"/>
              <c:layout/>
              <c:tx>
                <c:rich>
                  <a:bodyPr/>
                  <a:lstStyle/>
                  <a:p>
                    <a:r>
                      <a:rPr lang="en-US"/>
                      <a:t>Gobierno</a:t>
                    </a:r>
                  </a:p>
                </c:rich>
              </c:tx>
              <c:showLegendKey val="0"/>
              <c:showVal val="1"/>
              <c:showCatName val="1"/>
              <c:showSerName val="0"/>
              <c:showPercent val="0"/>
              <c:showBubbleSize val="0"/>
              <c:extLst>
                <c:ext xmlns:c15="http://schemas.microsoft.com/office/drawing/2012/chart" uri="{CE6537A1-D6FC-4f65-9D91-7224C49458BB}">
                  <c15:layout/>
                </c:ext>
              </c:extLst>
            </c:dLbl>
            <c:dLbl>
              <c:idx val="2"/>
              <c:layout/>
              <c:tx>
                <c:rich>
                  <a:bodyPr/>
                  <a:lstStyle/>
                  <a:p>
                    <a:r>
                      <a:rPr lang="en-US"/>
                      <a:t>Saneamiento básico</a:t>
                    </a:r>
                  </a:p>
                </c:rich>
              </c:tx>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22162091717701954"/>
                  <c:y val="-0.31283902012248471"/>
                </c:manualLayout>
              </c:layout>
              <c:showLegendKey val="0"/>
              <c:showVal val="1"/>
              <c:showCatName val="1"/>
              <c:showSerName val="0"/>
              <c:showPercent val="0"/>
              <c:showBubbleSize val="0"/>
              <c:extLst>
                <c:ext xmlns:c15="http://schemas.microsoft.com/office/drawing/2012/chart" uri="{CE6537A1-D6FC-4f65-9D91-7224C49458BB}">
                  <c15:layout/>
                </c:ext>
              </c:extLst>
            </c:dLbl>
            <c:dLbl>
              <c:idx val="4"/>
              <c:layout/>
              <c:tx>
                <c:rich>
                  <a:bodyPr/>
                  <a:lstStyle/>
                  <a:p>
                    <a:r>
                      <a:rPr lang="en-US"/>
                      <a:t>Sector Transporte  </a:t>
                    </a:r>
                  </a:p>
                </c:rich>
              </c:tx>
              <c:showLegendKey val="0"/>
              <c:showVal val="1"/>
              <c:showCatName val="1"/>
              <c:showSerName val="0"/>
              <c:showPercent val="0"/>
              <c:showBubbleSize val="0"/>
              <c:extLst>
                <c:ext xmlns:c15="http://schemas.microsoft.com/office/drawing/2012/chart" uri="{CE6537A1-D6FC-4f65-9D91-7224C49458BB}">
                  <c15:layout/>
                </c:ext>
              </c:extLst>
            </c:dLbl>
            <c:dLbl>
              <c:idx val="5"/>
              <c:layout/>
              <c:tx>
                <c:rich>
                  <a:bodyPr/>
                  <a:lstStyle/>
                  <a:p>
                    <a:r>
                      <a:rPr lang="en-US"/>
                      <a:t>Vivienda</a:t>
                    </a:r>
                  </a:p>
                </c:rich>
              </c:tx>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Hoja1!$A$2:$A$7</c:f>
              <c:strCache>
                <c:ptCount val="6"/>
                <c:pt idx="0">
                  <c:v>Educación</c:v>
                </c:pt>
                <c:pt idx="1">
                  <c:v>Gobierno </c:v>
                </c:pt>
                <c:pt idx="2">
                  <c:v>Saneamiento básico</c:v>
                </c:pt>
                <c:pt idx="3">
                  <c:v>Sector Salud </c:v>
                </c:pt>
                <c:pt idx="4">
                  <c:v>Sector Transporte</c:v>
                </c:pt>
                <c:pt idx="5">
                  <c:v>Vivienda</c:v>
                </c:pt>
              </c:strCache>
            </c:strRef>
          </c:cat>
          <c:val>
            <c:numRef>
              <c:f>Hoja1!$B$2:$B$7</c:f>
              <c:numCache>
                <c:formatCode>_(* #,##0_);_(* \(#,##0\);_(* "-"??_);_(@_)</c:formatCode>
                <c:ptCount val="6"/>
                <c:pt idx="0">
                  <c:v>513</c:v>
                </c:pt>
                <c:pt idx="1">
                  <c:v>311</c:v>
                </c:pt>
                <c:pt idx="2">
                  <c:v>717</c:v>
                </c:pt>
                <c:pt idx="3">
                  <c:v>3836</c:v>
                </c:pt>
                <c:pt idx="4">
                  <c:v>3216</c:v>
                </c:pt>
                <c:pt idx="5">
                  <c:v>314</c:v>
                </c:pt>
              </c:numCache>
            </c:numRef>
          </c:val>
        </c:ser>
        <c:dLbls>
          <c:showLegendKey val="0"/>
          <c:showVal val="1"/>
          <c:showCatName val="1"/>
          <c:showSerName val="0"/>
          <c:showPercent val="0"/>
          <c:showBubbleSize val="0"/>
          <c:showLeaderLines val="1"/>
        </c:dLbls>
      </c:pie3DChart>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title>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Adiciones</c:v>
                </c:pt>
              </c:strCache>
            </c:strRef>
          </c:tx>
          <c:invertIfNegative val="0"/>
          <c:cat>
            <c:strRef>
              <c:f>Hoja1!$A$2:$A$6</c:f>
              <c:strCache>
                <c:ptCount val="5"/>
                <c:pt idx="0">
                  <c:v>cultura</c:v>
                </c:pt>
                <c:pt idx="1">
                  <c:v>salud</c:v>
                </c:pt>
                <c:pt idx="2">
                  <c:v>Educación</c:v>
                </c:pt>
                <c:pt idx="3">
                  <c:v>Saneamiento</c:v>
                </c:pt>
                <c:pt idx="4">
                  <c:v>Transporte</c:v>
                </c:pt>
              </c:strCache>
            </c:strRef>
          </c:cat>
          <c:val>
            <c:numRef>
              <c:f>Hoja1!$B$2:$B$11</c:f>
              <c:numCache>
                <c:formatCode>General</c:formatCode>
                <c:ptCount val="10"/>
                <c:pt idx="0">
                  <c:v>643</c:v>
                </c:pt>
                <c:pt idx="1">
                  <c:v>549</c:v>
                </c:pt>
                <c:pt idx="2">
                  <c:v>231</c:v>
                </c:pt>
                <c:pt idx="3">
                  <c:v>462</c:v>
                </c:pt>
                <c:pt idx="4">
                  <c:v>1062</c:v>
                </c:pt>
              </c:numCache>
            </c:numRef>
          </c:val>
        </c:ser>
        <c:dLbls>
          <c:showLegendKey val="0"/>
          <c:showVal val="0"/>
          <c:showCatName val="0"/>
          <c:showSerName val="0"/>
          <c:showPercent val="0"/>
          <c:showBubbleSize val="0"/>
        </c:dLbls>
        <c:gapWidth val="150"/>
        <c:shape val="cylinder"/>
        <c:axId val="-272406736"/>
        <c:axId val="-272408912"/>
        <c:axId val="0"/>
      </c:bar3DChart>
      <c:catAx>
        <c:axId val="-272406736"/>
        <c:scaling>
          <c:orientation val="minMax"/>
        </c:scaling>
        <c:delete val="0"/>
        <c:axPos val="b"/>
        <c:numFmt formatCode="General" sourceLinked="1"/>
        <c:majorTickMark val="none"/>
        <c:minorTickMark val="none"/>
        <c:tickLblPos val="nextTo"/>
        <c:crossAx val="-272408912"/>
        <c:crosses val="autoZero"/>
        <c:auto val="1"/>
        <c:lblAlgn val="ctr"/>
        <c:lblOffset val="100"/>
        <c:noMultiLvlLbl val="0"/>
      </c:catAx>
      <c:valAx>
        <c:axId val="-272408912"/>
        <c:scaling>
          <c:orientation val="minMax"/>
        </c:scaling>
        <c:delete val="0"/>
        <c:axPos val="l"/>
        <c:majorGridlines/>
        <c:numFmt formatCode="General" sourceLinked="1"/>
        <c:majorTickMark val="out"/>
        <c:minorTickMark val="none"/>
        <c:tickLblPos val="nextTo"/>
        <c:crossAx val="-272406736"/>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CEA8E-7D9A-406F-B022-33B92E6F2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13</Pages>
  <Words>1706</Words>
  <Characters>9389</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120</cp:revision>
  <cp:lastPrinted>2016-12-25T22:26:00Z</cp:lastPrinted>
  <dcterms:created xsi:type="dcterms:W3CDTF">2016-10-13T14:31:00Z</dcterms:created>
  <dcterms:modified xsi:type="dcterms:W3CDTF">2016-12-25T22:26:00Z</dcterms:modified>
</cp:coreProperties>
</file>