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67758A" w:rsidRDefault="0067758A" w:rsidP="00554F24">
      <w:pPr>
        <w:pStyle w:val="Prrafodelista"/>
        <w:numPr>
          <w:ilvl w:val="0"/>
          <w:numId w:val="50"/>
        </w:numPr>
        <w:spacing w:before="0" w:after="0"/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67758A" w:rsidRDefault="0067758A" w:rsidP="00554F24">
      <w:pPr>
        <w:spacing w:before="0" w:after="0"/>
      </w:pPr>
    </w:p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360"/>
        <w:gridCol w:w="1340"/>
        <w:gridCol w:w="1360"/>
        <w:gridCol w:w="1260"/>
      </w:tblGrid>
      <w:tr w:rsidR="0049456D" w:rsidRPr="0049456D" w:rsidTr="0049456D">
        <w:trPr>
          <w:trHeight w:val="30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49456D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MARIQUITA</w:t>
            </w:r>
          </w:p>
        </w:tc>
      </w:tr>
      <w:tr w:rsidR="0049456D" w:rsidRPr="0049456D" w:rsidTr="0049456D">
        <w:trPr>
          <w:trHeight w:val="315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49456D" w:rsidRPr="0049456D" w:rsidTr="0049456D">
        <w:trPr>
          <w:trHeight w:val="2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49456D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49456D" w:rsidRPr="0049456D" w:rsidTr="0049456D">
        <w:trPr>
          <w:trHeight w:val="465"/>
        </w:trPr>
        <w:tc>
          <w:tcPr>
            <w:tcW w:w="42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0066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66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SALDO FINAL DIC - 2015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66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0066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VARIACION ABSOLUTA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66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VARIACION RELATIVA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63,856,126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64,262,847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-406,721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-0.63%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7,972,226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7,689,770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282,456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3.67%</w:t>
            </w:r>
          </w:p>
        </w:tc>
      </w:tr>
      <w:tr w:rsidR="0049456D" w:rsidRPr="0049456D" w:rsidTr="0049456D">
        <w:trPr>
          <w:trHeight w:val="27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7,972,226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7,689,770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282,456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3.67%</w:t>
            </w:r>
          </w:p>
        </w:tc>
      </w:tr>
      <w:tr w:rsidR="0049456D" w:rsidRPr="0049456D" w:rsidTr="0049456D">
        <w:trPr>
          <w:trHeight w:val="27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82,206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1.23%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NO CONTROLADAS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1.24%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EN LIQUIDACIÓN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1,315,024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1,190,832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124,192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10.43%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512,574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692,766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-26.01%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802,450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498,066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304,384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61.11%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2,842,544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3,171,506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-328,962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-10.37%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82,562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82,767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-0.25%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915,584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954,288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-38,704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-4.06%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371,348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1,177,235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-805,887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-68.46%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ENTREGADOS EN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305,641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332,752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-8.15%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1,116,277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546,974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569,303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104.08%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DEUDAS DE DIFÍCIL RECAUDO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-26,358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25,972,177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24,375,069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1,597,108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6.55%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5,411,602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6,059,321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-647,719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-10.69%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PLANTACIONES AGRÍCOLAS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14,298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387,789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527,614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-139,825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-26.50%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-1,848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5,788,621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4,018,949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1,769,672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44.03%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2,812,227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2,812,227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15,537,075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15,089,247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447,828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2.97%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237,037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253,452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-16,415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-6.48%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464,788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402,193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62,595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15.56%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328,166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3.65%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EQUIPOS DE TRANSPORTE, TRACCIÓN Y ELEVACIÓN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2,145,500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1,750,612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394,888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22.56%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-7,158,769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-6,875,138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-283,631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4.13%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10,811,131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14,097,517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-3,286,386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-23.31%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EN CONSTRUCCIÓN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704,915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704,915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42,036,684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41,163,837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872,847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2.12%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BIENES DE USO PÚBLICO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-31,957,018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-27,797,785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-4,159,233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14.96%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14,860,818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13,656,947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1,203,871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8.82%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12,843,777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12,056,219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787,558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6.53%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Y SERVICIOS PAGADOS POR ANTICIPADO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51,891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42.37%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48,446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33,816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231.14%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ENTREGADOS A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24,524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27,957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-3,433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-12.28%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DERECHOS EN FIDEICOMISO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1,640,587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1,331,562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309,025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23.21%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-15.27%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244,972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181,689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34.83%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-10.67%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4,272,340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4,938,946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-666,606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-13.50%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Y FINANCIAMIENTO CON BANCA CENTRAL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1,039,449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1,616,090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-576,641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-35.68%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LARGO PLAZO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1,039,449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1,616,090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-576,641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-35.68%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1,004,673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1,482,391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-477,718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-32.23%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535,735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279,406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256,329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91.74%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246,687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366,034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-119,347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-32.61%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RECIBIDOS EN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614,700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-614,700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CRÉDITOS JUDICIALES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191,795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191,795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SENTENCIAS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191,795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191,795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30,456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1,803,276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1,683,060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7.14%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438,438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315,270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123,168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39.07%</w:t>
            </w:r>
          </w:p>
        </w:tc>
      </w:tr>
      <w:tr w:rsidR="0049456D" w:rsidRPr="0049456D" w:rsidTr="0049456D">
        <w:trPr>
          <w:trHeight w:val="45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PENSIONES Y PRESTACIONES ECONÓMICAS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1,364,838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1,367,790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-2,952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-0.22%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424,942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157,405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267,537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169.97%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215,651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150,939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64,712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42.87%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RECIBIDOS POR ANTICIPADO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202,825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202,825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ANTICIPO DE IMPUESTOS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59,583,786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59,323,901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259,885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0.44%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59,583,786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59,323,901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259,885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0.44%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59,428,753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58,960,440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468,313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0.79%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2,248,966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4,987,692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-2,738,726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-54.91%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-10.67%</w:t>
            </w:r>
          </w:p>
        </w:tc>
      </w:tr>
      <w:tr w:rsidR="0049456D" w:rsidRPr="0049456D" w:rsidTr="0049456D">
        <w:trPr>
          <w:trHeight w:val="25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3,013,350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247,227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2,766,123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1118.86%</w:t>
            </w:r>
          </w:p>
        </w:tc>
      </w:tr>
      <w:tr w:rsidR="0049456D" w:rsidRPr="0049456D" w:rsidTr="0049456D">
        <w:trPr>
          <w:trHeight w:val="46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6D" w:rsidRPr="0049456D" w:rsidRDefault="0049456D" w:rsidP="0049456D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-5,114,154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-4,879,150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-235,004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456D" w:rsidRPr="0049456D" w:rsidRDefault="0049456D" w:rsidP="0049456D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9456D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4.82%</w:t>
            </w:r>
          </w:p>
        </w:tc>
      </w:tr>
    </w:tbl>
    <w:p w:rsidR="00BC5D7D" w:rsidRDefault="00BC5D7D" w:rsidP="00554F24">
      <w:pPr>
        <w:spacing w:before="0" w:after="0"/>
      </w:pPr>
    </w:p>
    <w:p w:rsidR="00554F24" w:rsidRDefault="00554F24" w:rsidP="00554F24">
      <w:pPr>
        <w:spacing w:before="0" w:after="0"/>
      </w:pPr>
    </w:p>
    <w:p w:rsidR="00BC5D7D" w:rsidRDefault="0049456D" w:rsidP="00F56E66">
      <w:pPr>
        <w:spacing w:before="0" w:after="0"/>
        <w:jc w:val="both"/>
        <w:rPr>
          <w:noProof/>
        </w:rPr>
      </w:pPr>
      <w:r>
        <w:rPr>
          <w:noProof/>
        </w:rPr>
        <w:t>La Administración Municipal de Mariquita, en el Balance General a diciembre 31 de 2015, presenta una disminucion en sus Activos del 0.63%, el Pasivo una reduccion del 13.50% y el Patrimonio un incremento de tan solo el 0.44%.</w:t>
      </w:r>
    </w:p>
    <w:p w:rsidR="0049456D" w:rsidRDefault="0049456D" w:rsidP="000A5F72">
      <w:pPr>
        <w:spacing w:before="0" w:after="0"/>
        <w:rPr>
          <w:noProof/>
        </w:rPr>
      </w:pPr>
    </w:p>
    <w:p w:rsidR="00764B7F" w:rsidRDefault="0049456D" w:rsidP="00F56E66">
      <w:pPr>
        <w:spacing w:before="0" w:after="0"/>
        <w:jc w:val="both"/>
        <w:rPr>
          <w:noProof/>
        </w:rPr>
      </w:pPr>
      <w:r>
        <w:rPr>
          <w:noProof/>
        </w:rPr>
        <w:t>No obstante el porcentaje tan minimo de reduccion, cuentas del activo como el efectivo, Rentas por Cobrar</w:t>
      </w:r>
      <w:r w:rsidR="00F56E66">
        <w:rPr>
          <w:noProof/>
        </w:rPr>
        <w:t>,  Propiedad Planta y Equipo y  Otros Activos, reflejan incrementos del 3.67%, 10.43%, 6.55% y 8.882%, respectivamente, comparadas las cifras con la vigencia 2014.</w:t>
      </w:r>
    </w:p>
    <w:p w:rsidR="00F56E66" w:rsidRDefault="00F56E66" w:rsidP="000A5F72">
      <w:pPr>
        <w:spacing w:before="0" w:after="0"/>
        <w:rPr>
          <w:noProof/>
        </w:rPr>
      </w:pPr>
    </w:p>
    <w:p w:rsidR="00F56E66" w:rsidRDefault="00F56E66" w:rsidP="00F56E66">
      <w:pPr>
        <w:spacing w:before="0" w:after="0"/>
        <w:jc w:val="both"/>
        <w:rPr>
          <w:noProof/>
        </w:rPr>
      </w:pPr>
      <w:r>
        <w:rPr>
          <w:noProof/>
        </w:rPr>
        <w:t>Por otra parte, la cuenta que produjo la reduccion del total de activos fuerron lso Deudores los cuales disminuyeron el 10.37%, es decir que de un saldo en el 2014 por la suma de $3.171.506 miles de pesos, pasaron en el 2015 a un saldo de 2.842.544 miles de pesos, equivalente a una variacion absoluta por la suma de $328.962 miles.</w:t>
      </w:r>
    </w:p>
    <w:p w:rsidR="0013720D" w:rsidRDefault="0013720D" w:rsidP="00F56E66">
      <w:pPr>
        <w:spacing w:before="0" w:after="0"/>
        <w:jc w:val="both"/>
        <w:rPr>
          <w:noProof/>
        </w:rPr>
      </w:pPr>
    </w:p>
    <w:p w:rsidR="0013720D" w:rsidRDefault="0013720D" w:rsidP="00F56E66">
      <w:pPr>
        <w:spacing w:before="0" w:after="0"/>
        <w:jc w:val="both"/>
        <w:rPr>
          <w:noProof/>
        </w:rPr>
      </w:pPr>
      <w:r>
        <w:rPr>
          <w:noProof/>
        </w:rPr>
        <w:t>De  otra parte, de las cuentas que integran el grupo del pasivo tenemos que las Cuentas por Pagar disminuyeron su saldo al cierre del 2015, en la suma de $477.718 miles de pesos, el 32.23%, de las subcuentas que conforman esta cuenta, los Acreedores y los Rec</w:t>
      </w:r>
      <w:r w:rsidR="001D5EE9">
        <w:rPr>
          <w:noProof/>
        </w:rPr>
        <w:t>ursos Recibidos en Administración reflejan disminuciones del 32.61% y 100% respectivamente.</w:t>
      </w:r>
    </w:p>
    <w:p w:rsidR="00764B7F" w:rsidRDefault="00764B7F" w:rsidP="000A5F72">
      <w:pPr>
        <w:spacing w:before="0" w:after="0"/>
        <w:rPr>
          <w:noProof/>
        </w:rPr>
      </w:pPr>
    </w:p>
    <w:p w:rsidR="00764B7F" w:rsidRDefault="001D5EE9" w:rsidP="000A5F72">
      <w:pPr>
        <w:spacing w:before="0" w:after="0"/>
        <w:rPr>
          <w:noProof/>
        </w:rPr>
      </w:pPr>
      <w:r>
        <w:rPr>
          <w:noProof/>
        </w:rPr>
        <w:t>De igual forma, la cuenta Operaciones de Crédito Publico y Financiamiento con Banca Central, comparado su saldo del 2015,con respecto al 2014 refleja una disminucion del 35.68%, equivalente a la suma de $576.641 miles de pesos</w:t>
      </w:r>
    </w:p>
    <w:p w:rsidR="001D5EE9" w:rsidRDefault="001D5EE9" w:rsidP="000A5F72">
      <w:pPr>
        <w:spacing w:before="0" w:after="0"/>
        <w:rPr>
          <w:noProof/>
        </w:rPr>
      </w:pPr>
    </w:p>
    <w:p w:rsidR="001D5EE9" w:rsidRDefault="001D5EE9" w:rsidP="000A5F72">
      <w:pPr>
        <w:spacing w:before="0" w:after="0"/>
        <w:rPr>
          <w:noProof/>
        </w:rPr>
      </w:pPr>
      <w:r>
        <w:rPr>
          <w:noProof/>
        </w:rPr>
        <w:lastRenderedPageBreak/>
        <w:t>Ahora con respecto a la demas cuentas que componen el Pasivo, las Obligaciones Laborales y de Seguridad Social crecio el 7.14% y los Otros Pasivos el 169.97%.</w:t>
      </w:r>
    </w:p>
    <w:p w:rsidR="001D5EE9" w:rsidRDefault="001D5EE9" w:rsidP="000A5F72">
      <w:pPr>
        <w:spacing w:before="0" w:after="0"/>
        <w:rPr>
          <w:noProof/>
        </w:rPr>
      </w:pPr>
    </w:p>
    <w:p w:rsidR="001D5EE9" w:rsidRDefault="001D5EE9" w:rsidP="000A5F72">
      <w:pPr>
        <w:spacing w:before="0" w:after="0"/>
        <w:rPr>
          <w:noProof/>
        </w:rPr>
      </w:pPr>
      <w:r>
        <w:rPr>
          <w:noProof/>
        </w:rPr>
        <w:t>Con relacion al Patrimonio, registra un crecimiento de tan solo el 0.44%</w:t>
      </w:r>
      <w:r w:rsidR="009100B0">
        <w:rPr>
          <w:noProof/>
        </w:rPr>
        <w:t>, un valr de $259.885 miles de pesos, comparado con cifras del 2014.</w:t>
      </w:r>
    </w:p>
    <w:p w:rsidR="00764B7F" w:rsidRDefault="009100B0" w:rsidP="009100B0">
      <w:pPr>
        <w:spacing w:before="0" w:after="0"/>
        <w:jc w:val="center"/>
      </w:pPr>
      <w:r>
        <w:rPr>
          <w:noProof/>
        </w:rPr>
        <w:drawing>
          <wp:inline distT="0" distB="0" distL="0" distR="0" wp14:anchorId="12CD9FD9">
            <wp:extent cx="5328285" cy="309118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28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4B7F" w:rsidRDefault="00764B7F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>ESTADO DE ACTIVIDAD FINANCIERA, ECONÓMICA, SOCIAL Y AMBIENTAL COMPARATIVO</w:t>
      </w:r>
      <w:r w:rsidR="00F46994">
        <w:rPr>
          <w:rFonts w:ascii="Tahoma" w:hAnsi="Tahoma" w:cs="Tahoma"/>
          <w:b/>
        </w:rPr>
        <w:t xml:space="preserve"> 2015 - 2014</w:t>
      </w:r>
    </w:p>
    <w:p w:rsidR="00BC5D7D" w:rsidRDefault="00BC5D7D" w:rsidP="0067758A"/>
    <w:tbl>
      <w:tblPr>
        <w:tblW w:w="9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1480"/>
        <w:gridCol w:w="1440"/>
        <w:gridCol w:w="1360"/>
        <w:gridCol w:w="1520"/>
      </w:tblGrid>
      <w:tr w:rsidR="00F46994" w:rsidRPr="00F46994" w:rsidTr="00F46994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F46994" w:rsidRPr="00F46994" w:rsidTr="00F46994">
        <w:trPr>
          <w:trHeight w:val="525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0066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4699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66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4699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66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4699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0066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4699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66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4699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33,762,601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29,698,206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4,064,395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13.69%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10,210,162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10,226,811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-16,649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-0.16%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8,258,964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8,397,239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-138,275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-1.65%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2,431,724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2,202,343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229,381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10.42%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10,079,730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9,440,729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639,001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6.77%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5,923,822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5,096,465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827,357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16.23%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1,072,131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1,077,625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-5,494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-0.51%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PARTICIPACIÓN PARA PROPÓSITO GENERAL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1,663,826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1,805,080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-141,254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-7.83%</w:t>
            </w:r>
          </w:p>
        </w:tc>
      </w:tr>
      <w:tr w:rsidR="00F46994" w:rsidRPr="00F46994" w:rsidTr="00F46994">
        <w:trPr>
          <w:trHeight w:val="67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PENSIONES - FONDO NACIONAL DE PENSIONES DE LAS ENTIDADES TERRITORIALES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144,629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322,420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-177,791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-55.14%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106,444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93,072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13,372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14.37%</w:t>
            </w:r>
          </w:p>
        </w:tc>
      </w:tr>
      <w:tr w:rsidR="00F46994" w:rsidRPr="00F46994" w:rsidTr="00F46994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1,087,013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1,046,067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40,946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3.91%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ATENCIÓN INTEGRAL A LA PRIMERA INFANCIA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81,865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81,865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968,920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1,272,849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-303,929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-23.88%</w:t>
            </w:r>
          </w:p>
        </w:tc>
      </w:tr>
      <w:tr w:rsidR="00F46994" w:rsidRPr="00F46994" w:rsidTr="00F46994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7,574,223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7,061,483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512,740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7.26%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4,154,841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543,603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3,611,238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664.32%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774,725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1,152,731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-378,006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-32.79%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665,521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983,287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-317,766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-32.32%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57,054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106,087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-49,033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-46.22%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52,150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60,859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-8,709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-14.31%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31,513,635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24,710,514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6,803,121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27.53%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6,660,109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5,923,912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736,197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12.43%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2,536,288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2,175,691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360,597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16.57%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246,443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85,988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160,455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186.60%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448,050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382,639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65,411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17.09%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90,817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78,008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12,809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16.42%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3,328,876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3,183,571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145,305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4.56%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9,635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-8,380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-46.52%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OPERACIÓN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3,622,305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778,640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27.38%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3,559,610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2,837,505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722,105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25.45%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62,045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55,885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907.22%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444,424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409,418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1169.57%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444,424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409,418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1169.57%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20,123,678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15,792,898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4,330,780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27.42%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568,159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257,312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310,847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120.81%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15,191,966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12,672,453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2,519,513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19.88%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709,302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272,899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436,403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159.91%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330,011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73,854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256,157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346.84%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423,053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337,787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85,266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25.24%</w:t>
            </w:r>
          </w:p>
        </w:tc>
      </w:tr>
      <w:tr w:rsidR="00F46994" w:rsidRPr="00F46994" w:rsidTr="00F46994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941,055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306,847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634,208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206.69%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-30,839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1,960,132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1,840,907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119,225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6.48%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663,119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115,033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548,086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476.46%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INTERESES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46,953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40,368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85.98%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COMISIONES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5,241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-11.80%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8,336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319,350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212,294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107,056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50.43%</w:t>
            </w:r>
          </w:p>
        </w:tc>
      </w:tr>
      <w:tr w:rsidR="00F46994" w:rsidRPr="00F46994" w:rsidTr="00F46994">
        <w:trPr>
          <w:trHeight w:val="25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114,428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114,428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46994" w:rsidRPr="00F46994" w:rsidTr="00F46994">
        <w:trPr>
          <w:trHeight w:val="27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128,443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-150,156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278,599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6994" w:rsidRPr="00F46994" w:rsidRDefault="00F46994" w:rsidP="00F4699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4699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-185.54%</w:t>
            </w:r>
          </w:p>
        </w:tc>
      </w:tr>
    </w:tbl>
    <w:p w:rsidR="009100B0" w:rsidRDefault="009100B0" w:rsidP="0067758A"/>
    <w:p w:rsidR="00CC7E28" w:rsidRDefault="00CC7E28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Administración Municipal de Mariquita</w:t>
      </w:r>
      <w:r w:rsidR="00AC7D11">
        <w:rPr>
          <w:rFonts w:ascii="Tahoma" w:hAnsi="Tahoma" w:cs="Tahoma"/>
        </w:rPr>
        <w:t>, en su Estado de Actividad Financiera con corte a 31 de diciembre de 2015, registra un incremento en sus ingresos por valor de $4.064.395 miles de pesos, es decir un 13.69%, los gastos por su parte también crecieron el 27.53%</w:t>
      </w:r>
      <w:r w:rsidR="00F46994">
        <w:rPr>
          <w:rFonts w:ascii="Tahoma" w:hAnsi="Tahoma" w:cs="Tahoma"/>
        </w:rPr>
        <w:t>.</w:t>
      </w:r>
    </w:p>
    <w:p w:rsidR="00F46994" w:rsidRDefault="00F46994" w:rsidP="00814D3D">
      <w:pPr>
        <w:spacing w:before="0" w:after="0"/>
        <w:jc w:val="both"/>
        <w:rPr>
          <w:rFonts w:ascii="Tahoma" w:hAnsi="Tahoma" w:cs="Tahoma"/>
        </w:rPr>
      </w:pPr>
    </w:p>
    <w:p w:rsidR="00F46994" w:rsidRDefault="000701EB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 obstante lo anterior, las cuentas de Ingresos Tributarios presenta una disminución del 1.65%, comparado con lo recaudado en la vigencia 2014, por otra parte, los No Tributarios</w:t>
      </w:r>
      <w:r w:rsidR="002B302F">
        <w:rPr>
          <w:rFonts w:ascii="Tahoma" w:hAnsi="Tahoma" w:cs="Tahoma"/>
        </w:rPr>
        <w:t xml:space="preserve"> incrementaron su recaudo en el 10.42%, al pasar de un saldo en el 2014 de $2.202.343, a un saldo en el 2015 por la suma de $2.431.724.</w:t>
      </w:r>
    </w:p>
    <w:p w:rsidR="002B302F" w:rsidRDefault="002B302F" w:rsidP="00814D3D">
      <w:pPr>
        <w:spacing w:before="0" w:after="0"/>
        <w:jc w:val="both"/>
        <w:rPr>
          <w:rFonts w:ascii="Tahoma" w:hAnsi="Tahoma" w:cs="Tahoma"/>
        </w:rPr>
      </w:pPr>
    </w:p>
    <w:p w:rsidR="002B302F" w:rsidRDefault="002B302F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Ingresos por transferencias, más exactamente las del Sistema General de Participaciones registran un incremento del 6.77%, es decir la suma de $639.001 miles de pesos; de las subcuentas que la integran, observamos que la Participación para Salud creció el 16.23%, los Programas de Alimentación Escolar el 14.37%, la Participación para Agua Potable y Saneamiento Básico el 3.91%.</w:t>
      </w:r>
    </w:p>
    <w:p w:rsidR="002B302F" w:rsidRDefault="002B302F" w:rsidP="00814D3D">
      <w:pPr>
        <w:spacing w:before="0" w:after="0"/>
        <w:jc w:val="both"/>
        <w:rPr>
          <w:rFonts w:ascii="Tahoma" w:hAnsi="Tahoma" w:cs="Tahoma"/>
        </w:rPr>
      </w:pPr>
    </w:p>
    <w:p w:rsidR="002B302F" w:rsidRDefault="002B302F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el contrario, la Participación par Educación disminuyo el 0.51%, Propósito General el 7.83% y la Participación para Pensiones – FOPEP disminuyo el 55.14%.</w:t>
      </w:r>
    </w:p>
    <w:p w:rsidR="00CC7E28" w:rsidRDefault="00CC7E28" w:rsidP="00814D3D">
      <w:pPr>
        <w:spacing w:before="0" w:after="0"/>
        <w:jc w:val="both"/>
        <w:rPr>
          <w:rFonts w:ascii="Tahoma" w:hAnsi="Tahoma" w:cs="Tahoma"/>
        </w:rPr>
      </w:pPr>
    </w:p>
    <w:p w:rsidR="00493C86" w:rsidRDefault="00A32BD8" w:rsidP="00814D3D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t xml:space="preserve">Ahora bien, en cuanto a los Gastos </w:t>
      </w:r>
      <w:r w:rsidR="00E625A7">
        <w:rPr>
          <w:rFonts w:ascii="Tahoma" w:hAnsi="Tahoma" w:cs="Tahoma"/>
        </w:rPr>
        <w:t>presentan un incremento del 27.53%, lo que significa que de un saldo por la suma de $24.710.514 en el 2014, paso a un saldo en el 2015 por valor de $31.513.635 miles de pesos.</w:t>
      </w:r>
    </w:p>
    <w:p w:rsidR="00E625A7" w:rsidRDefault="00E625A7" w:rsidP="00814D3D">
      <w:pPr>
        <w:spacing w:before="0" w:after="0"/>
        <w:jc w:val="both"/>
        <w:rPr>
          <w:rFonts w:ascii="Tahoma" w:hAnsi="Tahoma" w:cs="Tahoma"/>
        </w:rPr>
      </w:pPr>
    </w:p>
    <w:p w:rsidR="00E625A7" w:rsidRDefault="00E625A7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Gastos de administración al cierre de la vigencia 2015, alcanzaron un valor de $6.660.109 miles de pesos, que comparados con los $5.923.912 del 2014, registran un incremento del 12.43%; igualmente, los gastos de operación evidencian un aumento del 27.38%.</w:t>
      </w:r>
    </w:p>
    <w:p w:rsidR="00E625A7" w:rsidRDefault="00E625A7" w:rsidP="00814D3D">
      <w:pPr>
        <w:spacing w:before="0" w:after="0"/>
        <w:jc w:val="both"/>
        <w:rPr>
          <w:rFonts w:ascii="Tahoma" w:hAnsi="Tahoma" w:cs="Tahoma"/>
        </w:rPr>
      </w:pPr>
    </w:p>
    <w:p w:rsidR="00E625A7" w:rsidRDefault="00E625A7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Gasto Público Social, registra también un crecimiento del 27.42%, que equivale a </w:t>
      </w:r>
      <w:r w:rsidR="00B740B3">
        <w:rPr>
          <w:rFonts w:ascii="Tahoma" w:hAnsi="Tahoma" w:cs="Tahoma"/>
        </w:rPr>
        <w:t>la</w:t>
      </w:r>
      <w:r>
        <w:rPr>
          <w:rFonts w:ascii="Tahoma" w:hAnsi="Tahoma" w:cs="Tahoma"/>
        </w:rPr>
        <w:t xml:space="preserve"> suma de $</w:t>
      </w:r>
      <w:r w:rsidR="00B740B3">
        <w:rPr>
          <w:rFonts w:ascii="Tahoma" w:hAnsi="Tahoma" w:cs="Tahoma"/>
        </w:rPr>
        <w:t>4.330.780 miles de peso; dentro de estos gastos, la inversión para salud fue la que más se incrementó del 2014 al 2015 en el 19.88%, Educación el 120.81%, Agua Potable y Saneamiento Básico el 159.91%.</w:t>
      </w:r>
    </w:p>
    <w:p w:rsidR="00493C86" w:rsidRDefault="00493C86" w:rsidP="00814D3D">
      <w:pPr>
        <w:spacing w:before="0" w:after="0"/>
        <w:jc w:val="both"/>
        <w:rPr>
          <w:rFonts w:ascii="Tahoma" w:hAnsi="Tahoma" w:cs="Tahoma"/>
        </w:rPr>
      </w:pPr>
    </w:p>
    <w:p w:rsidR="005D00AE" w:rsidRDefault="00B740B3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 wp14:anchorId="446AE425">
            <wp:extent cx="5340350" cy="27495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0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40B3" w:rsidRDefault="00B740B3" w:rsidP="005D00AE">
      <w:pPr>
        <w:spacing w:before="0" w:after="0"/>
        <w:jc w:val="center"/>
        <w:rPr>
          <w:rFonts w:ascii="Tahoma" w:hAnsi="Tahoma" w:cs="Tahoma"/>
        </w:rPr>
      </w:pPr>
    </w:p>
    <w:p w:rsidR="00493C86" w:rsidRDefault="00493C86" w:rsidP="005D00AE">
      <w:pPr>
        <w:spacing w:before="0" w:after="0"/>
        <w:jc w:val="center"/>
        <w:rPr>
          <w:rFonts w:ascii="Tahoma" w:hAnsi="Tahoma" w:cs="Tahoma"/>
        </w:rPr>
      </w:pPr>
    </w:p>
    <w:p w:rsidR="00BC5D7D" w:rsidRDefault="00814D3D" w:rsidP="005D00AE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APLICACIÓN DE INDICADORES FINANCIEROS</w:t>
      </w:r>
    </w:p>
    <w:p w:rsidR="00814D3D" w:rsidRDefault="00814D3D" w:rsidP="005D00AE">
      <w:pPr>
        <w:spacing w:before="0" w:after="0"/>
        <w:rPr>
          <w:rFonts w:ascii="Tahoma" w:hAnsi="Tahoma" w:cs="Tahoma"/>
        </w:rPr>
      </w:pPr>
    </w:p>
    <w:p w:rsidR="00814D3D" w:rsidRPr="00814D3D" w:rsidRDefault="00814D3D" w:rsidP="005D00AE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5D00AE">
      <w:pPr>
        <w:spacing w:before="0" w:after="0"/>
        <w:rPr>
          <w:rFonts w:ascii="Tahoma" w:hAnsi="Tahoma" w:cs="Tahoma"/>
        </w:rPr>
      </w:pPr>
    </w:p>
    <w:p w:rsidR="00814D3D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A022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B740B3">
        <w:rPr>
          <w:rFonts w:ascii="Tahoma" w:hAnsi="Tahoma" w:cs="Tahoma"/>
        </w:rPr>
        <w:t>7.972.226</w:t>
      </w:r>
    </w:p>
    <w:p w:rsidR="00160B31" w:rsidRDefault="001666F5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B740B3">
        <w:rPr>
          <w:rFonts w:ascii="Tahoma" w:hAnsi="Tahoma" w:cs="Tahoma"/>
        </w:rPr>
        <w:t>1.315.024</w:t>
      </w:r>
    </w:p>
    <w:p w:rsidR="001666F5" w:rsidRPr="00814D3D" w:rsidRDefault="001666F5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 w:rsidR="007A0220">
        <w:rPr>
          <w:rFonts w:ascii="Tahoma" w:hAnsi="Tahoma" w:cs="Tahoma"/>
        </w:rPr>
        <w:t xml:space="preserve">  </w:t>
      </w:r>
      <w:r w:rsidR="00B740B3">
        <w:rPr>
          <w:rFonts w:ascii="Tahoma" w:hAnsi="Tahoma" w:cs="Tahoma"/>
        </w:rPr>
        <w:t>2.842.544</w:t>
      </w:r>
    </w:p>
    <w:p w:rsidR="001666F5" w:rsidRDefault="001666F5" w:rsidP="005D00AE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Default="001666F5" w:rsidP="005D00AE">
      <w:pPr>
        <w:spacing w:before="0" w:after="0"/>
      </w:pPr>
      <w:r>
        <w:tab/>
      </w:r>
      <w:r>
        <w:tab/>
      </w:r>
      <w:r>
        <w:tab/>
        <w:t>$</w:t>
      </w:r>
      <w:r w:rsidR="00B740B3">
        <w:t>12.129.724</w:t>
      </w:r>
    </w:p>
    <w:p w:rsidR="001666F5" w:rsidRDefault="001666F5" w:rsidP="005D00AE">
      <w:pPr>
        <w:spacing w:before="0" w:after="0"/>
      </w:pPr>
    </w:p>
    <w:p w:rsidR="001666F5" w:rsidRDefault="001666F5" w:rsidP="005D00AE">
      <w:pPr>
        <w:spacing w:before="0" w:after="0"/>
      </w:pPr>
      <w:r>
        <w:t>Pasivo Corriente:</w:t>
      </w:r>
    </w:p>
    <w:p w:rsidR="00C46826" w:rsidRDefault="00C46826" w:rsidP="005D00AE">
      <w:pPr>
        <w:spacing w:before="0" w:after="0"/>
      </w:pPr>
      <w:r>
        <w:t>Operaciones de Crédito Publico</w:t>
      </w:r>
      <w:r>
        <w:tab/>
      </w:r>
      <w:r>
        <w:tab/>
        <w:t>1.0</w:t>
      </w:r>
      <w:r w:rsidR="00B458C4">
        <w:t>39.449</w:t>
      </w:r>
    </w:p>
    <w:p w:rsidR="001666F5" w:rsidRDefault="001666F5" w:rsidP="005D00AE">
      <w:pPr>
        <w:spacing w:before="0" w:after="0"/>
      </w:pPr>
      <w:r>
        <w:t>Cuentas por Pagar</w:t>
      </w:r>
      <w:r>
        <w:tab/>
      </w:r>
      <w:r>
        <w:tab/>
      </w:r>
      <w:r>
        <w:tab/>
      </w:r>
      <w:r>
        <w:tab/>
      </w:r>
      <w:r w:rsidR="00B458C4">
        <w:t>1.004.673</w:t>
      </w:r>
    </w:p>
    <w:p w:rsidR="001666F5" w:rsidRDefault="001666F5" w:rsidP="005D00AE">
      <w:pPr>
        <w:spacing w:before="0" w:after="0"/>
      </w:pPr>
      <w:r>
        <w:t>Obligaciones Laborales</w:t>
      </w:r>
      <w:r>
        <w:tab/>
      </w:r>
      <w:r>
        <w:tab/>
      </w:r>
      <w:r>
        <w:tab/>
      </w:r>
      <w:r w:rsidR="00B458C4">
        <w:t>1.803.276</w:t>
      </w:r>
    </w:p>
    <w:p w:rsidR="001666F5" w:rsidRDefault="001666F5" w:rsidP="005D00AE">
      <w:pPr>
        <w:spacing w:before="0" w:after="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----------------</w:t>
      </w:r>
    </w:p>
    <w:p w:rsidR="001666F5" w:rsidRDefault="00B458C4" w:rsidP="005D00AE">
      <w:pPr>
        <w:spacing w:before="0" w:after="0"/>
      </w:pPr>
      <w:r>
        <w:tab/>
      </w:r>
      <w:r>
        <w:tab/>
      </w:r>
      <w:r>
        <w:tab/>
      </w:r>
      <w:r>
        <w:tab/>
        <w:t xml:space="preserve">                     </w:t>
      </w:r>
      <w:r w:rsidR="001666F5">
        <w:t>$</w:t>
      </w:r>
      <w:r>
        <w:t>3.847.398</w:t>
      </w:r>
    </w:p>
    <w:p w:rsidR="001666F5" w:rsidRDefault="001666F5" w:rsidP="005D00AE">
      <w:pPr>
        <w:spacing w:before="0" w:after="0"/>
      </w:pPr>
    </w:p>
    <w:p w:rsidR="001666F5" w:rsidRDefault="001666F5" w:rsidP="005D00AE">
      <w:pPr>
        <w:spacing w:before="0" w:after="0"/>
      </w:pPr>
      <w:r>
        <w:t>Razón Corriente  $</w:t>
      </w:r>
      <w:r w:rsidR="00B458C4">
        <w:t>12.129.724</w:t>
      </w:r>
      <w:r>
        <w:t xml:space="preserve"> /  $</w:t>
      </w:r>
      <w:r w:rsidR="00B458C4">
        <w:t>3.847.398</w:t>
      </w:r>
      <w:r>
        <w:t xml:space="preserve"> = </w:t>
      </w:r>
      <w:r w:rsidR="00B458C4">
        <w:t>3.15</w:t>
      </w:r>
    </w:p>
    <w:p w:rsidR="00A7456E" w:rsidRDefault="00A7456E" w:rsidP="005D00AE">
      <w:pPr>
        <w:spacing w:before="0" w:after="0"/>
      </w:pPr>
    </w:p>
    <w:p w:rsidR="00A7456E" w:rsidRDefault="00A7456E" w:rsidP="005D00AE">
      <w:pPr>
        <w:spacing w:before="0" w:after="0"/>
        <w:jc w:val="both"/>
      </w:pPr>
      <w:r>
        <w:t>El anterior resultado nos muestra que por cada peso que la Admin</w:t>
      </w:r>
      <w:r w:rsidR="00B458C4">
        <w:t>istración Municipal de</w:t>
      </w:r>
      <w:r>
        <w:t xml:space="preserve"> </w:t>
      </w:r>
      <w:r w:rsidR="00B458C4">
        <w:t>Mariquita</w:t>
      </w:r>
      <w:r>
        <w:t xml:space="preserve"> debe a corto plazo, cuenta con </w:t>
      </w:r>
      <w:r w:rsidR="00B458C4">
        <w:t>3.15</w:t>
      </w:r>
      <w:r>
        <w:t xml:space="preserve"> pesos en activos corriente para cubrirlos, lo que significa que el mencionado municipio refleja liquidez suficiente para cubrir sus pasivos de corto plazo.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CAPITAL NETO DE TRABAJO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Formula: Activo Corriente – Pasivo Corriente</w:t>
      </w:r>
    </w:p>
    <w:p w:rsidR="00A7456E" w:rsidRDefault="00A7456E" w:rsidP="005D00AE">
      <w:pPr>
        <w:spacing w:before="0" w:after="0"/>
        <w:jc w:val="both"/>
      </w:pPr>
    </w:p>
    <w:p w:rsidR="00A7456E" w:rsidRDefault="00B458C4" w:rsidP="005D00AE">
      <w:pPr>
        <w:spacing w:before="0" w:after="0"/>
        <w:jc w:val="both"/>
      </w:pPr>
      <w:r>
        <w:t>$12.129.724 -  $3.847.398</w:t>
      </w:r>
      <w:r w:rsidR="00F401CA">
        <w:t xml:space="preserve"> </w:t>
      </w:r>
      <w:r w:rsidR="00A7456E">
        <w:t>= $</w:t>
      </w:r>
      <w:r>
        <w:t>8</w:t>
      </w:r>
      <w:r w:rsidR="00F401CA">
        <w:t>.</w:t>
      </w:r>
      <w:r>
        <w:t>282</w:t>
      </w:r>
      <w:r w:rsidR="00F401CA">
        <w:t>.</w:t>
      </w:r>
      <w:r>
        <w:t>326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El anterior resultado nos indica que el ente territorial cuenta con suficientes recursos propios para operar.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NIVEL DE ENDEUDAMIENTO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Formula: Pasivo Total con Terceros / Activo Total</w:t>
      </w:r>
    </w:p>
    <w:p w:rsidR="003E25A9" w:rsidRDefault="003E25A9" w:rsidP="005D00AE">
      <w:pPr>
        <w:spacing w:before="0" w:after="0"/>
        <w:jc w:val="both"/>
      </w:pPr>
    </w:p>
    <w:p w:rsidR="003E25A9" w:rsidRDefault="00F401CA" w:rsidP="005D00AE">
      <w:pPr>
        <w:spacing w:before="0" w:after="0"/>
        <w:jc w:val="both"/>
      </w:pPr>
      <w:r>
        <w:t>$</w:t>
      </w:r>
      <w:r w:rsidR="00B458C4">
        <w:t>4.272.340</w:t>
      </w:r>
      <w:r w:rsidR="003E25A9">
        <w:t xml:space="preserve"> / </w:t>
      </w:r>
      <w:r>
        <w:t>$</w:t>
      </w:r>
      <w:r w:rsidR="00B458C4">
        <w:t>63.856.126</w:t>
      </w:r>
      <w:r w:rsidR="0079552D">
        <w:t xml:space="preserve"> </w:t>
      </w:r>
      <w:r w:rsidR="003E25A9">
        <w:t xml:space="preserve">= </w:t>
      </w:r>
      <w:r w:rsidR="00B458C4">
        <w:t>6.69</w:t>
      </w:r>
      <w:r w:rsidR="003E25A9">
        <w:t>%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B458C4">
        <w:t>6.69</w:t>
      </w:r>
      <w:r>
        <w:t>% está siendo financiado por los acreedores.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RAZÓN DEL PATRIMONIO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lastRenderedPageBreak/>
        <w:t>Formula: Patrimonio Total / Activo Total</w:t>
      </w:r>
    </w:p>
    <w:p w:rsidR="003E25A9" w:rsidRDefault="003E25A9" w:rsidP="005D00AE">
      <w:pPr>
        <w:spacing w:before="0" w:after="0"/>
        <w:jc w:val="both"/>
      </w:pPr>
    </w:p>
    <w:p w:rsidR="003E25A9" w:rsidRDefault="00764ABD" w:rsidP="005D00AE">
      <w:pPr>
        <w:spacing w:before="0" w:after="0"/>
        <w:jc w:val="both"/>
      </w:pPr>
      <w:r>
        <w:t>$</w:t>
      </w:r>
      <w:r w:rsidR="00B458C4">
        <w:t>59.583.786</w:t>
      </w:r>
      <w:r w:rsidR="003E25A9">
        <w:t xml:space="preserve"> / </w:t>
      </w:r>
      <w:r w:rsidR="0079552D">
        <w:t>$</w:t>
      </w:r>
      <w:r w:rsidR="00B458C4">
        <w:t>63.856.126</w:t>
      </w:r>
      <w:r w:rsidR="0079552D">
        <w:t xml:space="preserve"> </w:t>
      </w:r>
      <w:r>
        <w:t xml:space="preserve">= </w:t>
      </w:r>
      <w:r w:rsidR="0079552D">
        <w:t>9</w:t>
      </w:r>
      <w:r w:rsidR="00B458C4">
        <w:t>3</w:t>
      </w:r>
      <w:r w:rsidR="0079552D">
        <w:t>.</w:t>
      </w:r>
      <w:r w:rsidR="00B458C4">
        <w:t>30</w:t>
      </w:r>
      <w:r>
        <w:t>%</w:t>
      </w:r>
    </w:p>
    <w:p w:rsidR="008326D2" w:rsidRDefault="008326D2" w:rsidP="005D00AE">
      <w:pPr>
        <w:spacing w:before="0" w:after="0"/>
        <w:jc w:val="both"/>
      </w:pPr>
    </w:p>
    <w:p w:rsidR="008326D2" w:rsidRDefault="008326D2" w:rsidP="005D00AE">
      <w:pPr>
        <w:spacing w:before="0" w:after="0"/>
        <w:jc w:val="both"/>
      </w:pPr>
      <w:r>
        <w:t xml:space="preserve">El porcentaje establecido anteriormente nos indica que el </w:t>
      </w:r>
      <w:r w:rsidR="0079552D">
        <w:t>9</w:t>
      </w:r>
      <w:r w:rsidR="00B458C4">
        <w:t>3.30</w:t>
      </w:r>
      <w:r>
        <w:t>% de los activos, están siendo financiados con capital propio.</w:t>
      </w: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pStyle w:val="Prrafodelista"/>
        <w:numPr>
          <w:ilvl w:val="0"/>
          <w:numId w:val="50"/>
        </w:numPr>
        <w:spacing w:before="0" w:after="0"/>
        <w:jc w:val="both"/>
      </w:pPr>
      <w:r>
        <w:t>CONCEPTUALIZACION SOBRE LOS ESTADOS FINANCIEROS 201</w:t>
      </w:r>
      <w:r w:rsidR="0079552D">
        <w:t>5</w:t>
      </w:r>
    </w:p>
    <w:p w:rsidR="006756E8" w:rsidRDefault="006756E8" w:rsidP="005D00AE">
      <w:pPr>
        <w:spacing w:before="0" w:after="0"/>
        <w:jc w:val="both"/>
      </w:pPr>
    </w:p>
    <w:p w:rsidR="006756E8" w:rsidRDefault="00B458C4" w:rsidP="005D00AE">
      <w:pPr>
        <w:spacing w:before="0" w:after="0"/>
        <w:jc w:val="both"/>
      </w:pPr>
      <w:r>
        <w:t>El municipio de Mariquita</w:t>
      </w:r>
      <w:r w:rsidR="006756E8">
        <w:t xml:space="preserve"> de acuerdo con su Balance General terminado en la fecha, se observa que sus activos totales </w:t>
      </w:r>
      <w:r>
        <w:t>disminuyeron</w:t>
      </w:r>
      <w:r w:rsidR="006756E8">
        <w:t xml:space="preserve"> un </w:t>
      </w:r>
      <w:r>
        <w:t>-0.63</w:t>
      </w:r>
      <w:r w:rsidR="006756E8">
        <w:t>% en la suma de $</w:t>
      </w:r>
      <w:r>
        <w:t>-406.721</w:t>
      </w:r>
      <w:r w:rsidR="006756E8">
        <w:t xml:space="preserve"> (mies de $), con relación al periodo 201</w:t>
      </w:r>
      <w:r w:rsidR="0079552D">
        <w:t>4</w:t>
      </w:r>
      <w:r w:rsidR="006756E8">
        <w:t>, reflejados en las cuentas</w:t>
      </w:r>
      <w:r w:rsidR="000E4056">
        <w:t xml:space="preserve"> Deudores, Bienes Uso Público.</w:t>
      </w: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spacing w:before="0" w:after="0"/>
        <w:jc w:val="both"/>
      </w:pPr>
      <w:r>
        <w:t xml:space="preserve">Su patrimonio creció un </w:t>
      </w:r>
      <w:r w:rsidR="000E4056">
        <w:t>0.44</w:t>
      </w:r>
      <w:r>
        <w:t xml:space="preserve">%, apalancado principalmente por la cuenta </w:t>
      </w:r>
      <w:r w:rsidR="008873F7">
        <w:t>Capital</w:t>
      </w:r>
      <w:r w:rsidR="0079552D">
        <w:t>.</w:t>
      </w:r>
    </w:p>
    <w:p w:rsidR="0079552D" w:rsidRDefault="0079552D" w:rsidP="005D00AE">
      <w:pPr>
        <w:spacing w:before="0" w:after="0"/>
        <w:jc w:val="both"/>
      </w:pPr>
    </w:p>
    <w:p w:rsidR="000D2062" w:rsidRDefault="000D2062" w:rsidP="005D00AE">
      <w:pPr>
        <w:spacing w:before="0" w:after="0"/>
        <w:jc w:val="both"/>
      </w:pPr>
      <w:r>
        <w:t>Su estructura financiera al cierre del periodo contable 201</w:t>
      </w:r>
      <w:r w:rsidR="00481E5E">
        <w:t>5</w:t>
      </w:r>
      <w:r>
        <w:t xml:space="preserve">, estaba representada en el </w:t>
      </w:r>
      <w:r w:rsidR="008873F7">
        <w:t>6.7</w:t>
      </w:r>
      <w:r>
        <w:t xml:space="preserve">% los pasivos y el </w:t>
      </w:r>
      <w:r w:rsidR="008873F7">
        <w:t>93.30</w:t>
      </w:r>
      <w:r>
        <w:t>% el patrimonio.</w:t>
      </w:r>
    </w:p>
    <w:p w:rsidR="000D2062" w:rsidRDefault="000D2062" w:rsidP="005D00AE">
      <w:pPr>
        <w:spacing w:before="0" w:after="0"/>
        <w:jc w:val="both"/>
      </w:pPr>
    </w:p>
    <w:p w:rsidR="000D2062" w:rsidRDefault="000D2062" w:rsidP="005D00AE">
      <w:pPr>
        <w:spacing w:before="0" w:after="0"/>
        <w:jc w:val="both"/>
      </w:pPr>
      <w:r>
        <w:t xml:space="preserve">El municipio presenta un nivel de endeudamiento bajo respecto al total de sus activos, alcanzando un margen del </w:t>
      </w:r>
      <w:r w:rsidR="008873F7">
        <w:t>6.69</w:t>
      </w:r>
      <w:r>
        <w:t>%.</w:t>
      </w:r>
    </w:p>
    <w:p w:rsidR="000D2062" w:rsidRDefault="000D2062" w:rsidP="005D00AE">
      <w:pPr>
        <w:spacing w:before="0" w:after="0"/>
        <w:jc w:val="both"/>
      </w:pPr>
    </w:p>
    <w:p w:rsidR="000D2062" w:rsidRDefault="000D2062" w:rsidP="005D00AE">
      <w:pPr>
        <w:spacing w:before="0" w:after="0"/>
        <w:jc w:val="both"/>
      </w:pPr>
      <w:r>
        <w:t xml:space="preserve">De acuerdo con los resultados de sus indicadores </w:t>
      </w:r>
      <w:r w:rsidR="00C83948">
        <w:t>podemo</w:t>
      </w:r>
      <w:r w:rsidR="008873F7">
        <w:t>s concluir que el municipio d Mariquita</w:t>
      </w:r>
      <w:r w:rsidR="00C83948">
        <w:t xml:space="preserve"> al corte del 3</w:t>
      </w:r>
      <w:r w:rsidR="003515F7">
        <w:t>1</w:t>
      </w:r>
      <w:r w:rsidR="00C83948">
        <w:t xml:space="preserve"> de diciembre de 201</w:t>
      </w:r>
      <w:r w:rsidR="00481E5E">
        <w:t>5</w:t>
      </w:r>
      <w:r w:rsidR="00C83948">
        <w:t>, presentaba una situación financiera favorable.</w:t>
      </w:r>
    </w:p>
    <w:p w:rsidR="00A7456E" w:rsidRPr="0067758A" w:rsidRDefault="00A7456E" w:rsidP="005D00AE">
      <w:pPr>
        <w:spacing w:before="0" w:after="0"/>
        <w:jc w:val="both"/>
      </w:pPr>
    </w:p>
    <w:sectPr w:rsidR="00A7456E" w:rsidRPr="0067758A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174" w:rsidRDefault="00FC5174" w:rsidP="00650A99">
      <w:r>
        <w:separator/>
      </w:r>
    </w:p>
  </w:endnote>
  <w:endnote w:type="continuationSeparator" w:id="0">
    <w:p w:rsidR="00FC5174" w:rsidRDefault="00FC5174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56D" w:rsidRPr="00070555" w:rsidRDefault="00DD454B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1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<v:textbox>
            <w:txbxContent>
              <w:p w:rsidR="0049456D" w:rsidRPr="003205FF" w:rsidRDefault="0049456D" w:rsidP="00B6483D">
                <w:pPr>
                  <w:jc w:val="center"/>
                  <w:rPr>
                    <w:rFonts w:ascii="Tahoma" w:hAnsi="Tahoma" w:cs="Tahoma"/>
                    <w:sz w:val="14"/>
                    <w:szCs w:val="16"/>
                  </w:rPr>
                </w:pP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fldChar w:fldCharType="begin"/>
                </w: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instrText>PAGE  \* Arabic  \* MERGEFORMAT</w:instrText>
                </w: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fldChar w:fldCharType="separate"/>
                </w:r>
                <w:r w:rsidR="00DD454B" w:rsidRPr="00DD454B">
                  <w:rPr>
                    <w:rFonts w:ascii="Tahoma" w:hAnsi="Tahoma" w:cs="Tahoma"/>
                    <w:noProof/>
                    <w:sz w:val="14"/>
                    <w:szCs w:val="16"/>
                    <w:lang w:val="es-ES"/>
                  </w:rPr>
                  <w:t>1</w:t>
                </w: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fldChar w:fldCharType="end"/>
                </w:r>
                <w:r w:rsidRPr="003205FF">
                  <w:rPr>
                    <w:rFonts w:ascii="Tahoma" w:hAnsi="Tahoma" w:cs="Tahoma"/>
                    <w:sz w:val="12"/>
                    <w:szCs w:val="16"/>
                    <w:lang w:val="es-ES"/>
                  </w:rPr>
                  <w:t xml:space="preserve"> de </w:t>
                </w:r>
                <w:fldSimple w:instr="NUMPAGES  \* Arabic  \* MERGEFORMAT">
                  <w:r w:rsidR="00DD454B" w:rsidRPr="00DD454B">
                    <w:rPr>
                      <w:rFonts w:ascii="Tahoma" w:hAnsi="Tahoma" w:cs="Tahoma"/>
                      <w:noProof/>
                      <w:sz w:val="14"/>
                      <w:szCs w:val="16"/>
                      <w:lang w:val="es-ES"/>
                    </w:rPr>
                    <w:t>9</w:t>
                  </w:r>
                </w:fldSimple>
              </w:p>
            </w:txbxContent>
          </v:textbox>
        </v:shape>
      </w:pict>
    </w:r>
    <w:r>
      <w:rPr>
        <w:rFonts w:ascii="Tahoma" w:hAnsi="Tahoma" w:cs="Tahoma"/>
        <w:noProof/>
        <w:sz w:val="14"/>
        <w:szCs w:val="20"/>
      </w:rPr>
      <w:pict>
        <v:shape id="_x0000_s2050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<v:textbox>
            <w:txbxContent>
              <w:p w:rsidR="0049456D" w:rsidRDefault="0049456D"/>
            </w:txbxContent>
          </v:textbox>
        </v:shape>
      </w:pict>
    </w:r>
  </w:p>
  <w:p w:rsidR="0049456D" w:rsidRPr="00070555" w:rsidRDefault="00DD454B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w:pict>
        <v:shape id="_x0000_s2049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<v:textbox>
            <w:txbxContent>
              <w:p w:rsidR="0049456D" w:rsidRDefault="0049456D" w:rsidP="00351487">
                <w:pPr>
                  <w:tabs>
                    <w:tab w:val="left" w:pos="-2835"/>
                    <w:tab w:val="left" w:pos="-2694"/>
                    <w:tab w:val="left" w:pos="-2552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hAnsi="Tahoma" w:cs="Tahoma"/>
                    <w:sz w:val="18"/>
                    <w:szCs w:val="18"/>
                  </w:rPr>
                  <w:t>______________________________________</w:t>
                </w:r>
              </w:p>
              <w:p w:rsidR="0049456D" w:rsidRDefault="0049456D" w:rsidP="00351487">
                <w:pPr>
                  <w:tabs>
                    <w:tab w:val="left" w:pos="-2835"/>
                    <w:tab w:val="left" w:pos="-2694"/>
                    <w:tab w:val="left" w:pos="-2552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</w:p>
              <w:p w:rsidR="0049456D" w:rsidRPr="00BB3D88" w:rsidRDefault="0049456D" w:rsidP="00351487">
                <w:pPr>
                  <w:tabs>
                    <w:tab w:val="left" w:pos="-2835"/>
                    <w:tab w:val="left" w:pos="-2694"/>
                    <w:tab w:val="left" w:pos="-2552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hAnsi="Tahoma" w:cs="Tahoma"/>
                    <w:sz w:val="18"/>
                    <w:szCs w:val="18"/>
                  </w:rPr>
                  <w:t xml:space="preserve">Edificio </w:t>
                </w:r>
                <w:r w:rsidRPr="00BB3D88">
                  <w:rPr>
                    <w:rFonts w:ascii="Tahoma" w:hAnsi="Tahoma" w:cs="Tahoma"/>
                    <w:sz w:val="18"/>
                    <w:szCs w:val="18"/>
                  </w:rPr>
                  <w:t xml:space="preserve">Gobernación del Tolima, Piso 7 </w:t>
                </w:r>
              </w:p>
              <w:p w:rsidR="0049456D" w:rsidRPr="003205FF" w:rsidRDefault="00DD454B" w:rsidP="003205FF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Style w:val="Hipervnculo"/>
                    <w:rFonts w:ascii="Tahoma" w:hAnsi="Tahoma" w:cs="Tahoma"/>
                    <w:color w:val="auto"/>
                    <w:sz w:val="18"/>
                    <w:szCs w:val="18"/>
                    <w:u w:val="none"/>
                  </w:rPr>
                </w:pPr>
                <w:hyperlink r:id="rId1" w:history="1">
                  <w:r w:rsidR="0049456D" w:rsidRPr="003205FF">
                    <w:rPr>
                      <w:rStyle w:val="Hipervnculo"/>
                      <w:rFonts w:ascii="Tahoma" w:hAnsi="Tahoma" w:cs="Tahoma"/>
                      <w:color w:val="auto"/>
                      <w:sz w:val="18"/>
                      <w:szCs w:val="18"/>
                      <w:u w:val="none"/>
                    </w:rPr>
                    <w:t>despacho.contraloria@contraloriatolima.gov.co</w:t>
                  </w:r>
                </w:hyperlink>
              </w:p>
              <w:p w:rsidR="0049456D" w:rsidRPr="000352F0" w:rsidRDefault="0049456D" w:rsidP="00351487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Style w:val="Hipervnculo"/>
                    <w:rFonts w:ascii="Tahoma" w:hAnsi="Tahoma" w:cs="Tahoma"/>
                    <w:color w:val="auto"/>
                    <w:sz w:val="18"/>
                    <w:szCs w:val="18"/>
                    <w:u w:val="none"/>
                  </w:rPr>
                </w:pPr>
                <w:r w:rsidRPr="000352F0">
                  <w:rPr>
                    <w:rFonts w:ascii="Tahoma" w:hAnsi="Tahoma" w:cs="Tahoma"/>
                    <w:sz w:val="18"/>
                    <w:szCs w:val="18"/>
                  </w:rPr>
                  <w:t>Web-</w:t>
                </w:r>
                <w:proofErr w:type="spellStart"/>
                <w:r w:rsidRPr="000352F0">
                  <w:rPr>
                    <w:rFonts w:ascii="Tahoma" w:hAnsi="Tahoma" w:cs="Tahoma"/>
                    <w:sz w:val="18"/>
                    <w:szCs w:val="18"/>
                  </w:rPr>
                  <w:t>Site</w:t>
                </w:r>
                <w:proofErr w:type="spellEnd"/>
                <w:r w:rsidRPr="000352F0">
                  <w:rPr>
                    <w:rFonts w:ascii="Tahoma" w:hAnsi="Tahoma" w:cs="Tahoma"/>
                    <w:sz w:val="18"/>
                    <w:szCs w:val="18"/>
                  </w:rPr>
                  <w:t xml:space="preserve">:  </w:t>
                </w:r>
                <w:hyperlink r:id="rId2" w:history="1">
                  <w:r w:rsidRPr="000352F0">
                    <w:rPr>
                      <w:rStyle w:val="Hipervnculo"/>
                      <w:rFonts w:ascii="Tahoma" w:hAnsi="Tahoma" w:cs="Tahoma"/>
                      <w:color w:val="auto"/>
                      <w:sz w:val="18"/>
                      <w:szCs w:val="18"/>
                      <w:u w:val="none"/>
                    </w:rPr>
                    <w:t>www.contraloriatolima.gov.co</w:t>
                  </w:r>
                </w:hyperlink>
              </w:p>
              <w:p w:rsidR="0049456D" w:rsidRPr="00BB3D88" w:rsidRDefault="0049456D" w:rsidP="00351487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hAnsi="Tahoma" w:cs="Tahoma"/>
                    <w:sz w:val="18"/>
                    <w:szCs w:val="18"/>
                  </w:rPr>
                  <w:t xml:space="preserve">PBX: 2 </w:t>
                </w:r>
                <w:r w:rsidRPr="00BB3D88">
                  <w:rPr>
                    <w:rFonts w:ascii="Tahoma" w:hAnsi="Tahoma" w:cs="Tahoma"/>
                    <w:sz w:val="18"/>
                    <w:szCs w:val="18"/>
                  </w:rPr>
                  <w:t xml:space="preserve">611167 </w:t>
                </w:r>
                <w:r>
                  <w:rPr>
                    <w:rFonts w:ascii="Tahoma" w:hAnsi="Tahoma" w:cs="Tahoma"/>
                    <w:sz w:val="18"/>
                    <w:szCs w:val="18"/>
                  </w:rPr>
                  <w:t>/ 2 61 11 69</w:t>
                </w:r>
              </w:p>
              <w:p w:rsidR="0049456D" w:rsidRPr="00A926CE" w:rsidRDefault="0049456D" w:rsidP="00351487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20"/>
                  </w:rPr>
                </w:pPr>
                <w:r w:rsidRPr="00A926CE">
                  <w:rPr>
                    <w:rFonts w:ascii="Tahoma" w:hAnsi="Tahoma" w:cs="Tahoma"/>
                    <w:sz w:val="18"/>
                    <w:szCs w:val="20"/>
                  </w:rPr>
                  <w:t>NIT: 890.706.847-1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174" w:rsidRDefault="00FC5174" w:rsidP="00650A99">
      <w:r>
        <w:separator/>
      </w:r>
    </w:p>
  </w:footnote>
  <w:footnote w:type="continuationSeparator" w:id="0">
    <w:p w:rsidR="00FC5174" w:rsidRDefault="00FC5174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56D" w:rsidRDefault="00CC6167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6167" w:rsidRDefault="00CC61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A99"/>
    <w:rsid w:val="00014DDB"/>
    <w:rsid w:val="00025419"/>
    <w:rsid w:val="0003468E"/>
    <w:rsid w:val="000352F0"/>
    <w:rsid w:val="00043E5E"/>
    <w:rsid w:val="00044B50"/>
    <w:rsid w:val="000479B3"/>
    <w:rsid w:val="0005757F"/>
    <w:rsid w:val="00062A7C"/>
    <w:rsid w:val="000701EB"/>
    <w:rsid w:val="00070555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584"/>
    <w:rsid w:val="000B3E43"/>
    <w:rsid w:val="000C640F"/>
    <w:rsid w:val="000C699D"/>
    <w:rsid w:val="000D2062"/>
    <w:rsid w:val="000D715E"/>
    <w:rsid w:val="000E117C"/>
    <w:rsid w:val="000E1460"/>
    <w:rsid w:val="000E4056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3720D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D5EE9"/>
    <w:rsid w:val="001E0386"/>
    <w:rsid w:val="001E19D5"/>
    <w:rsid w:val="001E2459"/>
    <w:rsid w:val="001E6C74"/>
    <w:rsid w:val="001F3E0C"/>
    <w:rsid w:val="0020274A"/>
    <w:rsid w:val="002049C5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51D2"/>
    <w:rsid w:val="00293B22"/>
    <w:rsid w:val="00294FB6"/>
    <w:rsid w:val="00297AD1"/>
    <w:rsid w:val="002A5283"/>
    <w:rsid w:val="002B302F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15F7"/>
    <w:rsid w:val="00356B3F"/>
    <w:rsid w:val="00367CB1"/>
    <w:rsid w:val="00372F40"/>
    <w:rsid w:val="00375CC7"/>
    <w:rsid w:val="003810B6"/>
    <w:rsid w:val="0039183D"/>
    <w:rsid w:val="00391C14"/>
    <w:rsid w:val="00397766"/>
    <w:rsid w:val="003A5822"/>
    <w:rsid w:val="003B11DD"/>
    <w:rsid w:val="003B72A8"/>
    <w:rsid w:val="003C0774"/>
    <w:rsid w:val="003C5E57"/>
    <w:rsid w:val="003E25A9"/>
    <w:rsid w:val="003F55C4"/>
    <w:rsid w:val="003F5E08"/>
    <w:rsid w:val="004032C1"/>
    <w:rsid w:val="00407637"/>
    <w:rsid w:val="004120E2"/>
    <w:rsid w:val="00430D77"/>
    <w:rsid w:val="00437F1D"/>
    <w:rsid w:val="00440EAB"/>
    <w:rsid w:val="00452E65"/>
    <w:rsid w:val="00454B8B"/>
    <w:rsid w:val="00466271"/>
    <w:rsid w:val="0046718C"/>
    <w:rsid w:val="00467508"/>
    <w:rsid w:val="00467595"/>
    <w:rsid w:val="00480FCA"/>
    <w:rsid w:val="00481E5E"/>
    <w:rsid w:val="0048203B"/>
    <w:rsid w:val="0049303C"/>
    <w:rsid w:val="00493C86"/>
    <w:rsid w:val="0049456D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4F24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B6F12"/>
    <w:rsid w:val="005C3743"/>
    <w:rsid w:val="005D00AE"/>
    <w:rsid w:val="005E1DE9"/>
    <w:rsid w:val="005E5E78"/>
    <w:rsid w:val="005F1EFC"/>
    <w:rsid w:val="005F356A"/>
    <w:rsid w:val="00603AAD"/>
    <w:rsid w:val="00604905"/>
    <w:rsid w:val="006068E9"/>
    <w:rsid w:val="006074FF"/>
    <w:rsid w:val="00617A76"/>
    <w:rsid w:val="00617E98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5FCB"/>
    <w:rsid w:val="006B765E"/>
    <w:rsid w:val="006D2B4A"/>
    <w:rsid w:val="00700DB0"/>
    <w:rsid w:val="0070120A"/>
    <w:rsid w:val="00704103"/>
    <w:rsid w:val="007062D9"/>
    <w:rsid w:val="00706545"/>
    <w:rsid w:val="00745063"/>
    <w:rsid w:val="00747180"/>
    <w:rsid w:val="00754337"/>
    <w:rsid w:val="00764ABD"/>
    <w:rsid w:val="00764B7F"/>
    <w:rsid w:val="00770276"/>
    <w:rsid w:val="00770ADC"/>
    <w:rsid w:val="00771928"/>
    <w:rsid w:val="00773282"/>
    <w:rsid w:val="0079552D"/>
    <w:rsid w:val="00796DDA"/>
    <w:rsid w:val="007A0220"/>
    <w:rsid w:val="007B4882"/>
    <w:rsid w:val="007B70F7"/>
    <w:rsid w:val="007C4270"/>
    <w:rsid w:val="007D4A2F"/>
    <w:rsid w:val="007F7C04"/>
    <w:rsid w:val="00800EEF"/>
    <w:rsid w:val="008036D7"/>
    <w:rsid w:val="00807A47"/>
    <w:rsid w:val="00814D3D"/>
    <w:rsid w:val="00815D0B"/>
    <w:rsid w:val="00820529"/>
    <w:rsid w:val="00821EDD"/>
    <w:rsid w:val="00827082"/>
    <w:rsid w:val="00832014"/>
    <w:rsid w:val="008326D2"/>
    <w:rsid w:val="00854602"/>
    <w:rsid w:val="00872CA8"/>
    <w:rsid w:val="008761A0"/>
    <w:rsid w:val="008873F7"/>
    <w:rsid w:val="00897455"/>
    <w:rsid w:val="008A0D33"/>
    <w:rsid w:val="008A5D7F"/>
    <w:rsid w:val="008E2ADB"/>
    <w:rsid w:val="008E40B7"/>
    <w:rsid w:val="008E6775"/>
    <w:rsid w:val="008F6815"/>
    <w:rsid w:val="009058D0"/>
    <w:rsid w:val="00907660"/>
    <w:rsid w:val="009100B0"/>
    <w:rsid w:val="00914565"/>
    <w:rsid w:val="00921D04"/>
    <w:rsid w:val="00926B45"/>
    <w:rsid w:val="009339AC"/>
    <w:rsid w:val="00934CE3"/>
    <w:rsid w:val="00942761"/>
    <w:rsid w:val="00942F02"/>
    <w:rsid w:val="00943029"/>
    <w:rsid w:val="009551E3"/>
    <w:rsid w:val="00957662"/>
    <w:rsid w:val="009606B3"/>
    <w:rsid w:val="00966EAD"/>
    <w:rsid w:val="00990B51"/>
    <w:rsid w:val="00991F22"/>
    <w:rsid w:val="009C0615"/>
    <w:rsid w:val="009D7ECE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C7D11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458C4"/>
    <w:rsid w:val="00B5291B"/>
    <w:rsid w:val="00B6483D"/>
    <w:rsid w:val="00B65897"/>
    <w:rsid w:val="00B7024B"/>
    <w:rsid w:val="00B740B3"/>
    <w:rsid w:val="00B74F06"/>
    <w:rsid w:val="00B773B4"/>
    <w:rsid w:val="00B83BF2"/>
    <w:rsid w:val="00B8540B"/>
    <w:rsid w:val="00B97673"/>
    <w:rsid w:val="00BB2EB5"/>
    <w:rsid w:val="00BB3D88"/>
    <w:rsid w:val="00BC414E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4DC"/>
    <w:rsid w:val="00C43064"/>
    <w:rsid w:val="00C46826"/>
    <w:rsid w:val="00C54674"/>
    <w:rsid w:val="00C6685D"/>
    <w:rsid w:val="00C70370"/>
    <w:rsid w:val="00C81FC2"/>
    <w:rsid w:val="00C83948"/>
    <w:rsid w:val="00CB47E0"/>
    <w:rsid w:val="00CC0170"/>
    <w:rsid w:val="00CC38D6"/>
    <w:rsid w:val="00CC6167"/>
    <w:rsid w:val="00CC74DC"/>
    <w:rsid w:val="00CC7E28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454B"/>
    <w:rsid w:val="00DD5CA9"/>
    <w:rsid w:val="00E00EAB"/>
    <w:rsid w:val="00E06024"/>
    <w:rsid w:val="00E13FB3"/>
    <w:rsid w:val="00E37DA4"/>
    <w:rsid w:val="00E438FA"/>
    <w:rsid w:val="00E44E11"/>
    <w:rsid w:val="00E562E9"/>
    <w:rsid w:val="00E625A7"/>
    <w:rsid w:val="00E745B9"/>
    <w:rsid w:val="00E80CF1"/>
    <w:rsid w:val="00ED18CB"/>
    <w:rsid w:val="00F067EF"/>
    <w:rsid w:val="00F11CE8"/>
    <w:rsid w:val="00F152E9"/>
    <w:rsid w:val="00F401CA"/>
    <w:rsid w:val="00F413A2"/>
    <w:rsid w:val="00F46994"/>
    <w:rsid w:val="00F56E66"/>
    <w:rsid w:val="00F57D5F"/>
    <w:rsid w:val="00F612C4"/>
    <w:rsid w:val="00F64422"/>
    <w:rsid w:val="00F74A4C"/>
    <w:rsid w:val="00FA4C6D"/>
    <w:rsid w:val="00FB1D70"/>
    <w:rsid w:val="00FC413F"/>
    <w:rsid w:val="00FC5174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5:docId w15:val="{B5FE3474-DD9A-4C5F-B502-473725D5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9</Pages>
  <Words>2194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29</cp:revision>
  <cp:lastPrinted>2016-12-25T21:59:00Z</cp:lastPrinted>
  <dcterms:created xsi:type="dcterms:W3CDTF">2015-09-17T16:47:00Z</dcterms:created>
  <dcterms:modified xsi:type="dcterms:W3CDTF">2016-12-25T21:59:00Z</dcterms:modified>
</cp:coreProperties>
</file>