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E1D" w:rsidRPr="00EA2D8B" w:rsidRDefault="00524E1D" w:rsidP="001D6862">
      <w:pPr>
        <w:spacing w:before="0" w:after="0" w:line="19" w:lineRule="atLeast"/>
        <w:jc w:val="center"/>
        <w:rPr>
          <w:rFonts w:ascii="Tahoma" w:hAnsi="Tahoma" w:cs="Tahoma"/>
          <w:b/>
        </w:rPr>
      </w:pPr>
      <w:bookmarkStart w:id="0" w:name="_GoBack"/>
      <w:r w:rsidRPr="00EA2D8B">
        <w:rPr>
          <w:rFonts w:ascii="Tahoma" w:hAnsi="Tahoma" w:cs="Tahoma"/>
          <w:b/>
        </w:rPr>
        <w:t>INFORME FISCAL Y FINANCIERO</w:t>
      </w:r>
    </w:p>
    <w:bookmarkEnd w:id="0"/>
    <w:p w:rsidR="00524E1D" w:rsidRPr="00EA2D8B" w:rsidRDefault="00524E1D" w:rsidP="001D6862">
      <w:pPr>
        <w:spacing w:before="0" w:after="0" w:line="19" w:lineRule="atLeast"/>
        <w:jc w:val="center"/>
        <w:rPr>
          <w:rFonts w:ascii="Tahoma" w:hAnsi="Tahoma" w:cs="Tahoma"/>
          <w:b/>
        </w:rPr>
      </w:pPr>
      <w:r w:rsidRPr="00EA2D8B">
        <w:rPr>
          <w:rFonts w:ascii="Tahoma" w:hAnsi="Tahoma" w:cs="Tahoma"/>
          <w:b/>
        </w:rPr>
        <w:t xml:space="preserve">MUNICIPIO DE </w:t>
      </w:r>
      <w:r w:rsidR="006A75AC">
        <w:rPr>
          <w:rFonts w:ascii="Tahoma" w:hAnsi="Tahoma" w:cs="Tahoma"/>
          <w:b/>
        </w:rPr>
        <w:t>A</w:t>
      </w:r>
      <w:r w:rsidR="00ED1B75">
        <w:rPr>
          <w:rFonts w:ascii="Tahoma" w:hAnsi="Tahoma" w:cs="Tahoma"/>
          <w:b/>
        </w:rPr>
        <w:t>MBALEMA</w:t>
      </w:r>
    </w:p>
    <w:p w:rsidR="00524E1D" w:rsidRPr="00EA2D8B" w:rsidRDefault="00394BA1" w:rsidP="001D6862">
      <w:pPr>
        <w:spacing w:before="0" w:after="0" w:line="19" w:lineRule="atLeast"/>
        <w:jc w:val="center"/>
        <w:rPr>
          <w:rFonts w:ascii="Tahoma" w:hAnsi="Tahoma" w:cs="Tahoma"/>
          <w:b/>
        </w:rPr>
      </w:pPr>
      <w:r>
        <w:rPr>
          <w:rFonts w:ascii="Tahoma" w:hAnsi="Tahoma" w:cs="Tahoma"/>
          <w:b/>
        </w:rPr>
        <w:t xml:space="preserve"> VIGENCIA 2015</w:t>
      </w:r>
    </w:p>
    <w:p w:rsidR="00524E1D" w:rsidRDefault="00524E1D" w:rsidP="001D6862">
      <w:pPr>
        <w:spacing w:before="0" w:after="0" w:line="19" w:lineRule="atLeast"/>
        <w:rPr>
          <w:rFonts w:ascii="Tahoma" w:hAnsi="Tahoma" w:cs="Tahoma"/>
          <w:sz w:val="16"/>
        </w:rPr>
      </w:pPr>
    </w:p>
    <w:p w:rsidR="00E60742" w:rsidRDefault="00FD082E" w:rsidP="00FD082E">
      <w:pPr>
        <w:pStyle w:val="Ttulo1"/>
        <w:tabs>
          <w:tab w:val="left" w:pos="5664"/>
        </w:tabs>
        <w:spacing w:before="0" w:after="0" w:line="19" w:lineRule="atLeast"/>
        <w:jc w:val="both"/>
        <w:rPr>
          <w:rFonts w:ascii="Tahoma" w:hAnsi="Tahoma" w:cs="Tahoma"/>
          <w:b w:val="0"/>
          <w:sz w:val="22"/>
          <w:szCs w:val="22"/>
        </w:rPr>
      </w:pPr>
      <w:r>
        <w:rPr>
          <w:rFonts w:ascii="Tahoma" w:hAnsi="Tahoma" w:cs="Tahoma"/>
          <w:b w:val="0"/>
          <w:sz w:val="22"/>
          <w:szCs w:val="22"/>
        </w:rPr>
        <w:tab/>
      </w:r>
    </w:p>
    <w:p w:rsidR="009D4B99" w:rsidRDefault="009D4B99" w:rsidP="00AD0C4B">
      <w:pPr>
        <w:pStyle w:val="Ttulo1"/>
        <w:spacing w:before="0" w:after="0" w:line="19" w:lineRule="atLeast"/>
        <w:jc w:val="both"/>
        <w:rPr>
          <w:rFonts w:ascii="Tahoma" w:hAnsi="Tahoma" w:cs="Tahoma"/>
          <w:b w:val="0"/>
          <w:sz w:val="22"/>
          <w:szCs w:val="22"/>
        </w:rPr>
      </w:pPr>
      <w:r w:rsidRPr="009D4B99">
        <w:rPr>
          <w:rFonts w:ascii="Tahoma" w:hAnsi="Tahoma" w:cs="Tahoma"/>
          <w:b w:val="0"/>
          <w:sz w:val="22"/>
          <w:szCs w:val="22"/>
        </w:rPr>
        <w:t xml:space="preserve">El análisis practicado se efectuó sobre el resultado de la ejecución presupuestal de Ingresos y </w:t>
      </w:r>
      <w:r w:rsidR="00AD0C4B">
        <w:rPr>
          <w:rFonts w:ascii="Tahoma" w:hAnsi="Tahoma" w:cs="Tahoma"/>
          <w:b w:val="0"/>
          <w:sz w:val="22"/>
          <w:szCs w:val="22"/>
        </w:rPr>
        <w:t>Gastos de la vigencia 2015</w:t>
      </w:r>
      <w:r w:rsidR="00ED1B75">
        <w:rPr>
          <w:rFonts w:ascii="Tahoma" w:hAnsi="Tahoma" w:cs="Tahoma"/>
          <w:b w:val="0"/>
          <w:sz w:val="22"/>
          <w:szCs w:val="22"/>
        </w:rPr>
        <w:t>.</w:t>
      </w:r>
    </w:p>
    <w:p w:rsidR="009D4B99" w:rsidRDefault="00F10463" w:rsidP="00736B63">
      <w:pPr>
        <w:tabs>
          <w:tab w:val="left" w:pos="3453"/>
          <w:tab w:val="left" w:pos="7344"/>
        </w:tabs>
        <w:rPr>
          <w:lang w:val="es-ES" w:eastAsia="es-ES"/>
        </w:rPr>
      </w:pPr>
      <w:r>
        <w:rPr>
          <w:lang w:val="es-ES" w:eastAsia="es-ES"/>
        </w:rPr>
        <w:tab/>
      </w:r>
      <w:r w:rsidR="00736B63">
        <w:rPr>
          <w:lang w:val="es-ES" w:eastAsia="es-ES"/>
        </w:rPr>
        <w:tab/>
      </w:r>
    </w:p>
    <w:p w:rsidR="009D4B99" w:rsidRPr="00231ECA" w:rsidRDefault="009D4B99" w:rsidP="009D4B99">
      <w:pPr>
        <w:jc w:val="both"/>
        <w:rPr>
          <w:rFonts w:ascii="Tahoma" w:hAnsi="Tahoma" w:cs="Tahoma"/>
          <w:color w:val="000000" w:themeColor="text1"/>
        </w:rPr>
      </w:pPr>
      <w:r w:rsidRPr="00231ECA">
        <w:rPr>
          <w:rFonts w:ascii="Tahoma" w:hAnsi="Tahoma" w:cs="Tahoma"/>
          <w:color w:val="000000" w:themeColor="text1"/>
        </w:rPr>
        <w:t>Para el estudio y análisis del informe, se tomó como base la Información presupuestal del Sistema Consolidador de Hacienda e Info</w:t>
      </w:r>
      <w:r w:rsidR="00EC36EF" w:rsidRPr="00231ECA">
        <w:rPr>
          <w:rFonts w:ascii="Tahoma" w:hAnsi="Tahoma" w:cs="Tahoma"/>
          <w:color w:val="000000" w:themeColor="text1"/>
        </w:rPr>
        <w:t>rmación Financiera Pública Chip</w:t>
      </w:r>
      <w:r w:rsidR="00485A4C" w:rsidRPr="00231ECA">
        <w:rPr>
          <w:rFonts w:ascii="Tahoma" w:hAnsi="Tahoma" w:cs="Tahoma"/>
          <w:color w:val="000000" w:themeColor="text1"/>
        </w:rPr>
        <w:t xml:space="preserve">, información de la Contraloría General de la República y la </w:t>
      </w:r>
      <w:r w:rsidR="00EC36EF" w:rsidRPr="00231ECA">
        <w:rPr>
          <w:rFonts w:ascii="Tahoma" w:hAnsi="Tahoma" w:cs="Tahoma"/>
          <w:color w:val="000000" w:themeColor="text1"/>
        </w:rPr>
        <w:t>información presupuestal suministrada por el ente Territorial.</w:t>
      </w:r>
    </w:p>
    <w:p w:rsidR="00BD4C82" w:rsidRPr="00231ECA" w:rsidRDefault="00BD4C82" w:rsidP="00BD4C82">
      <w:pPr>
        <w:jc w:val="center"/>
        <w:rPr>
          <w:rFonts w:ascii="Tahoma" w:hAnsi="Tahoma" w:cs="Tahoma"/>
          <w:b/>
          <w:color w:val="000000" w:themeColor="text1"/>
        </w:rPr>
      </w:pPr>
      <w:r w:rsidRPr="00231ECA">
        <w:rPr>
          <w:rFonts w:ascii="Tahoma" w:hAnsi="Tahoma" w:cs="Tahoma"/>
          <w:b/>
          <w:color w:val="000000" w:themeColor="text1"/>
        </w:rPr>
        <w:t>CAPITULO 1</w:t>
      </w:r>
    </w:p>
    <w:p w:rsidR="005C0DCB" w:rsidRPr="00231ECA" w:rsidRDefault="00B97B3B" w:rsidP="00B97B3B">
      <w:pPr>
        <w:tabs>
          <w:tab w:val="left" w:pos="1573"/>
          <w:tab w:val="left" w:pos="2616"/>
          <w:tab w:val="center" w:pos="4420"/>
        </w:tabs>
        <w:rPr>
          <w:rFonts w:ascii="Tahoma" w:hAnsi="Tahoma" w:cs="Tahoma"/>
          <w:b/>
          <w:color w:val="000000" w:themeColor="text1"/>
        </w:rPr>
      </w:pPr>
      <w:r w:rsidRPr="00231ECA">
        <w:rPr>
          <w:rFonts w:ascii="Tahoma" w:hAnsi="Tahoma" w:cs="Tahoma"/>
          <w:b/>
          <w:color w:val="000000" w:themeColor="text1"/>
        </w:rPr>
        <w:t>LEGALIDAD Y APROBACION DEL PRESUPUESTO</w:t>
      </w:r>
    </w:p>
    <w:p w:rsidR="004F758C" w:rsidRPr="00231ECA" w:rsidRDefault="004F758C" w:rsidP="004F758C">
      <w:pPr>
        <w:rPr>
          <w:rFonts w:ascii="Tahoma" w:hAnsi="Tahoma" w:cs="Tahoma"/>
          <w:lang w:val="es-ES" w:eastAsia="es-ES"/>
        </w:rPr>
      </w:pPr>
    </w:p>
    <w:p w:rsidR="009B38B1" w:rsidRPr="00231ECA" w:rsidRDefault="00524E1D" w:rsidP="00AD0C4B">
      <w:pPr>
        <w:pStyle w:val="Ttulo1"/>
        <w:numPr>
          <w:ilvl w:val="0"/>
          <w:numId w:val="2"/>
        </w:numPr>
        <w:spacing w:before="0" w:after="0" w:line="19" w:lineRule="atLeast"/>
        <w:rPr>
          <w:rFonts w:ascii="Tahoma" w:hAnsi="Tahoma" w:cs="Tahoma"/>
          <w:sz w:val="22"/>
          <w:szCs w:val="22"/>
        </w:rPr>
      </w:pPr>
      <w:r w:rsidRPr="00231ECA">
        <w:rPr>
          <w:rFonts w:ascii="Tahoma" w:hAnsi="Tahoma" w:cs="Tahoma"/>
          <w:sz w:val="22"/>
          <w:szCs w:val="22"/>
        </w:rPr>
        <w:t>APROBACIÓN DEL PRESUPUESTO</w:t>
      </w:r>
    </w:p>
    <w:p w:rsidR="00AD0C4B" w:rsidRPr="00231ECA" w:rsidRDefault="00AD0C4B" w:rsidP="001D6862">
      <w:pPr>
        <w:tabs>
          <w:tab w:val="left" w:pos="2835"/>
        </w:tabs>
        <w:spacing w:before="0" w:after="0" w:line="19" w:lineRule="atLeast"/>
        <w:jc w:val="both"/>
        <w:rPr>
          <w:rFonts w:ascii="Tahoma" w:hAnsi="Tahoma" w:cs="Tahoma"/>
          <w:color w:val="auto"/>
        </w:rPr>
      </w:pPr>
    </w:p>
    <w:p w:rsidR="00EC36EF" w:rsidRPr="00231ECA" w:rsidRDefault="00524E1D" w:rsidP="00231ECA">
      <w:pPr>
        <w:tabs>
          <w:tab w:val="left" w:pos="2835"/>
        </w:tabs>
        <w:spacing w:before="0" w:after="0" w:line="19" w:lineRule="atLeast"/>
        <w:jc w:val="both"/>
        <w:rPr>
          <w:rFonts w:ascii="Tahoma" w:hAnsi="Tahoma" w:cs="Tahoma"/>
          <w:color w:val="auto"/>
        </w:rPr>
      </w:pPr>
      <w:r w:rsidRPr="00231ECA">
        <w:rPr>
          <w:rFonts w:ascii="Tahoma" w:hAnsi="Tahoma" w:cs="Tahoma"/>
          <w:color w:val="auto"/>
        </w:rPr>
        <w:t xml:space="preserve">El </w:t>
      </w:r>
      <w:r w:rsidR="00EC36EF" w:rsidRPr="00231ECA">
        <w:rPr>
          <w:rFonts w:ascii="Tahoma" w:hAnsi="Tahoma" w:cs="Tahoma"/>
          <w:color w:val="auto"/>
        </w:rPr>
        <w:t>presupuesto de Rentas y Recursos de Capita</w:t>
      </w:r>
      <w:r w:rsidR="006A0F41" w:rsidRPr="00231ECA">
        <w:rPr>
          <w:rFonts w:ascii="Tahoma" w:hAnsi="Tahoma" w:cs="Tahoma"/>
          <w:color w:val="auto"/>
        </w:rPr>
        <w:t xml:space="preserve">l y Gastos de la vigencia 2015 </w:t>
      </w:r>
      <w:r w:rsidR="00EC36EF" w:rsidRPr="00231ECA">
        <w:rPr>
          <w:rFonts w:ascii="Tahoma" w:hAnsi="Tahoma" w:cs="Tahoma"/>
          <w:color w:val="auto"/>
        </w:rPr>
        <w:t xml:space="preserve">del Municipio de </w:t>
      </w:r>
      <w:r w:rsidR="00ED1B75">
        <w:rPr>
          <w:rFonts w:ascii="Tahoma" w:hAnsi="Tahoma" w:cs="Tahoma"/>
          <w:color w:val="auto"/>
        </w:rPr>
        <w:t>Ambalema</w:t>
      </w:r>
      <w:r w:rsidR="00EC36EF" w:rsidRPr="00231ECA">
        <w:rPr>
          <w:rFonts w:ascii="Tahoma" w:hAnsi="Tahoma" w:cs="Tahoma"/>
          <w:color w:val="auto"/>
        </w:rPr>
        <w:t xml:space="preserve">, fue aprobado por el </w:t>
      </w:r>
      <w:r w:rsidRPr="00231ECA">
        <w:rPr>
          <w:rFonts w:ascii="Tahoma" w:hAnsi="Tahoma" w:cs="Tahoma"/>
          <w:color w:val="auto"/>
        </w:rPr>
        <w:t>Concejo Municipal mediante Acuerdo No.</w:t>
      </w:r>
      <w:r w:rsidR="00AD0C4B" w:rsidRPr="00231ECA">
        <w:rPr>
          <w:rFonts w:ascii="Tahoma" w:hAnsi="Tahoma" w:cs="Tahoma"/>
          <w:color w:val="auto"/>
        </w:rPr>
        <w:t xml:space="preserve"> </w:t>
      </w:r>
      <w:r w:rsidR="007F40C8" w:rsidRPr="000820BD">
        <w:rPr>
          <w:rFonts w:ascii="Tahoma" w:hAnsi="Tahoma" w:cs="Tahoma"/>
          <w:b/>
          <w:color w:val="FF0000"/>
        </w:rPr>
        <w:t>01</w:t>
      </w:r>
      <w:r w:rsidR="00A006DE" w:rsidRPr="000820BD">
        <w:rPr>
          <w:rFonts w:ascii="Tahoma" w:hAnsi="Tahoma" w:cs="Tahoma"/>
          <w:b/>
          <w:color w:val="FF0000"/>
        </w:rPr>
        <w:t>5</w:t>
      </w:r>
      <w:r w:rsidR="007F40C8" w:rsidRPr="000820BD">
        <w:rPr>
          <w:rFonts w:ascii="Tahoma" w:hAnsi="Tahoma" w:cs="Tahoma"/>
          <w:b/>
          <w:color w:val="FF0000"/>
        </w:rPr>
        <w:t xml:space="preserve"> </w:t>
      </w:r>
      <w:r w:rsidRPr="000820BD">
        <w:rPr>
          <w:rFonts w:ascii="Tahoma" w:hAnsi="Tahoma" w:cs="Tahoma"/>
          <w:b/>
          <w:color w:val="FF0000"/>
        </w:rPr>
        <w:t>de</w:t>
      </w:r>
      <w:r w:rsidR="007F40C8" w:rsidRPr="000820BD">
        <w:rPr>
          <w:rFonts w:ascii="Tahoma" w:hAnsi="Tahoma" w:cs="Tahoma"/>
          <w:b/>
          <w:color w:val="FF0000"/>
        </w:rPr>
        <w:t xml:space="preserve">l </w:t>
      </w:r>
      <w:r w:rsidR="0000466A" w:rsidRPr="000820BD">
        <w:rPr>
          <w:rFonts w:ascii="Tahoma" w:hAnsi="Tahoma" w:cs="Tahoma"/>
          <w:b/>
          <w:color w:val="FF0000"/>
        </w:rPr>
        <w:t>1</w:t>
      </w:r>
      <w:r w:rsidR="00A006DE" w:rsidRPr="000820BD">
        <w:rPr>
          <w:rFonts w:ascii="Tahoma" w:hAnsi="Tahoma" w:cs="Tahoma"/>
          <w:b/>
          <w:color w:val="FF0000"/>
        </w:rPr>
        <w:t>1</w:t>
      </w:r>
      <w:r w:rsidR="007F40C8" w:rsidRPr="000820BD">
        <w:rPr>
          <w:rFonts w:ascii="Tahoma" w:hAnsi="Tahoma" w:cs="Tahoma"/>
          <w:b/>
          <w:color w:val="FF0000"/>
        </w:rPr>
        <w:t xml:space="preserve"> de</w:t>
      </w:r>
      <w:r w:rsidR="006D7C83" w:rsidRPr="000820BD">
        <w:rPr>
          <w:rFonts w:ascii="Tahoma" w:hAnsi="Tahoma" w:cs="Tahoma"/>
          <w:b/>
          <w:color w:val="FF0000"/>
        </w:rPr>
        <w:t xml:space="preserve"> </w:t>
      </w:r>
      <w:r w:rsidR="00302682" w:rsidRPr="000820BD">
        <w:rPr>
          <w:rFonts w:ascii="Tahoma" w:hAnsi="Tahoma" w:cs="Tahoma"/>
          <w:b/>
          <w:color w:val="FF0000"/>
        </w:rPr>
        <w:t xml:space="preserve">Diciembre </w:t>
      </w:r>
      <w:r w:rsidR="007F40C8" w:rsidRPr="000820BD">
        <w:rPr>
          <w:rFonts w:ascii="Tahoma" w:hAnsi="Tahoma" w:cs="Tahoma"/>
          <w:b/>
          <w:color w:val="FF0000"/>
        </w:rPr>
        <w:t>de</w:t>
      </w:r>
      <w:r w:rsidR="006D7C83" w:rsidRPr="000820BD">
        <w:rPr>
          <w:rFonts w:ascii="Tahoma" w:hAnsi="Tahoma" w:cs="Tahoma"/>
          <w:b/>
          <w:color w:val="FF0000"/>
        </w:rPr>
        <w:t xml:space="preserve"> 201</w:t>
      </w:r>
      <w:r w:rsidR="00AD0C4B" w:rsidRPr="000820BD">
        <w:rPr>
          <w:rFonts w:ascii="Tahoma" w:hAnsi="Tahoma" w:cs="Tahoma"/>
          <w:b/>
          <w:color w:val="FF0000"/>
        </w:rPr>
        <w:t>4</w:t>
      </w:r>
      <w:r w:rsidR="00EC36EF" w:rsidRPr="00231ECA">
        <w:rPr>
          <w:rFonts w:ascii="Tahoma" w:hAnsi="Tahoma" w:cs="Tahoma"/>
          <w:color w:val="auto"/>
        </w:rPr>
        <w:t xml:space="preserve">, </w:t>
      </w:r>
      <w:r w:rsidR="006A0F41" w:rsidRPr="00231ECA">
        <w:rPr>
          <w:rFonts w:ascii="Tahoma" w:hAnsi="Tahoma" w:cs="Tahoma"/>
          <w:color w:val="auto"/>
        </w:rPr>
        <w:t>en la suma de</w:t>
      </w:r>
      <w:r w:rsidR="006A0F41" w:rsidRPr="00231ECA">
        <w:rPr>
          <w:rFonts w:ascii="Tahoma" w:hAnsi="Tahoma" w:cs="Tahoma"/>
          <w:b/>
          <w:color w:val="auto"/>
        </w:rPr>
        <w:t xml:space="preserve">  </w:t>
      </w:r>
      <w:r w:rsidR="00581A4A">
        <w:rPr>
          <w:rFonts w:ascii="Tahoma" w:hAnsi="Tahoma" w:cs="Tahoma"/>
          <w:b/>
          <w:color w:val="auto"/>
        </w:rPr>
        <w:t xml:space="preserve">CINCO </w:t>
      </w:r>
      <w:r w:rsidR="006A75AC" w:rsidRPr="006A75AC">
        <w:rPr>
          <w:rFonts w:ascii="Tahoma" w:hAnsi="Tahoma" w:cs="Tahoma"/>
          <w:b/>
          <w:color w:val="auto"/>
        </w:rPr>
        <w:t xml:space="preserve">MIL </w:t>
      </w:r>
      <w:r w:rsidR="00581A4A">
        <w:rPr>
          <w:rFonts w:ascii="Tahoma" w:hAnsi="Tahoma" w:cs="Tahoma"/>
          <w:b/>
          <w:color w:val="auto"/>
        </w:rPr>
        <w:t xml:space="preserve">DOSCIENTOS TREINTA Y CUATRO MILLONES DIEZ MIL TRESCIENTOS TRECE </w:t>
      </w:r>
      <w:r w:rsidR="0000466A">
        <w:rPr>
          <w:rFonts w:ascii="Tahoma" w:hAnsi="Tahoma" w:cs="Tahoma"/>
          <w:b/>
          <w:color w:val="auto"/>
        </w:rPr>
        <w:t>PESOS</w:t>
      </w:r>
      <w:r w:rsidR="006A0F41" w:rsidRPr="00231ECA">
        <w:rPr>
          <w:rFonts w:ascii="Tahoma" w:hAnsi="Tahoma" w:cs="Tahoma"/>
          <w:b/>
          <w:color w:val="auto"/>
        </w:rPr>
        <w:t xml:space="preserve"> M/CTE ($</w:t>
      </w:r>
      <w:r w:rsidR="00581A4A">
        <w:rPr>
          <w:rFonts w:ascii="Tahoma" w:hAnsi="Tahoma" w:cs="Tahoma"/>
          <w:b/>
          <w:color w:val="auto"/>
        </w:rPr>
        <w:t>5.234.010.313.</w:t>
      </w:r>
      <w:r w:rsidR="0000466A">
        <w:rPr>
          <w:rFonts w:ascii="Tahoma" w:hAnsi="Tahoma" w:cs="Tahoma"/>
          <w:b/>
          <w:color w:val="auto"/>
        </w:rPr>
        <w:t>o</w:t>
      </w:r>
      <w:r w:rsidR="006A0F41" w:rsidRPr="00231ECA">
        <w:rPr>
          <w:rFonts w:ascii="Tahoma" w:hAnsi="Tahoma" w:cs="Tahoma"/>
          <w:b/>
          <w:color w:val="auto"/>
        </w:rPr>
        <w:t>o).</w:t>
      </w:r>
      <w:r w:rsidR="00E85A59" w:rsidRPr="00231ECA">
        <w:rPr>
          <w:rFonts w:ascii="Tahoma" w:hAnsi="Tahoma" w:cs="Tahoma"/>
          <w:b/>
          <w:color w:val="auto"/>
        </w:rPr>
        <w:t xml:space="preserve">  </w:t>
      </w:r>
      <w:r w:rsidR="00504C03" w:rsidRPr="00231ECA">
        <w:rPr>
          <w:rFonts w:ascii="Tahoma" w:hAnsi="Tahoma" w:cs="Tahoma"/>
          <w:color w:val="auto"/>
        </w:rPr>
        <w:tab/>
      </w:r>
    </w:p>
    <w:p w:rsidR="00231ECA" w:rsidRDefault="00231ECA" w:rsidP="001D6862">
      <w:pPr>
        <w:spacing w:before="0" w:after="0" w:line="228" w:lineRule="auto"/>
        <w:jc w:val="center"/>
        <w:rPr>
          <w:rFonts w:ascii="Tahoma" w:hAnsi="Tahoma" w:cs="Tahoma"/>
          <w:b/>
        </w:rPr>
      </w:pPr>
    </w:p>
    <w:p w:rsidR="00231ECA" w:rsidRDefault="00231ECA" w:rsidP="001D6862">
      <w:pPr>
        <w:spacing w:before="0" w:after="0" w:line="228" w:lineRule="auto"/>
        <w:jc w:val="center"/>
        <w:rPr>
          <w:rFonts w:ascii="Tahoma" w:hAnsi="Tahoma" w:cs="Tahoma"/>
          <w:b/>
        </w:rPr>
      </w:pPr>
    </w:p>
    <w:p w:rsidR="00153A3B" w:rsidRPr="00231ECA" w:rsidRDefault="005C0DCB" w:rsidP="001D6862">
      <w:pPr>
        <w:spacing w:before="0" w:after="0" w:line="228" w:lineRule="auto"/>
        <w:jc w:val="center"/>
        <w:rPr>
          <w:rFonts w:ascii="Tahoma" w:hAnsi="Tahoma" w:cs="Tahoma"/>
          <w:b/>
        </w:rPr>
      </w:pPr>
      <w:r w:rsidRPr="00231ECA">
        <w:rPr>
          <w:rFonts w:ascii="Tahoma" w:hAnsi="Tahoma" w:cs="Tahoma"/>
          <w:b/>
        </w:rPr>
        <w:t>CAPITULO 2</w:t>
      </w:r>
    </w:p>
    <w:p w:rsidR="005C0DCB" w:rsidRPr="00231ECA" w:rsidRDefault="005C0DCB" w:rsidP="001D6862">
      <w:pPr>
        <w:spacing w:before="0" w:after="0" w:line="228" w:lineRule="auto"/>
        <w:jc w:val="center"/>
        <w:rPr>
          <w:rFonts w:ascii="Tahoma" w:hAnsi="Tahoma" w:cs="Tahoma"/>
          <w:b/>
        </w:rPr>
      </w:pPr>
    </w:p>
    <w:p w:rsidR="00524E1D" w:rsidRPr="00231ECA" w:rsidRDefault="00524E1D" w:rsidP="00C03A42">
      <w:pPr>
        <w:pStyle w:val="Prrafodelista"/>
        <w:numPr>
          <w:ilvl w:val="0"/>
          <w:numId w:val="2"/>
        </w:numPr>
        <w:spacing w:before="0" w:after="0" w:line="228" w:lineRule="auto"/>
        <w:rPr>
          <w:rFonts w:ascii="Tahoma" w:hAnsi="Tahoma" w:cs="Tahoma"/>
          <w:b/>
        </w:rPr>
      </w:pPr>
      <w:r w:rsidRPr="00231ECA">
        <w:rPr>
          <w:rFonts w:ascii="Tahoma" w:hAnsi="Tahoma" w:cs="Tahoma"/>
          <w:b/>
        </w:rPr>
        <w:t>EJECUCION DEL PRESUPUESTO</w:t>
      </w:r>
    </w:p>
    <w:p w:rsidR="00577ABF" w:rsidRPr="00231ECA" w:rsidRDefault="00577ABF" w:rsidP="00577ABF">
      <w:pPr>
        <w:spacing w:before="0" w:after="0" w:line="228" w:lineRule="auto"/>
        <w:rPr>
          <w:rFonts w:ascii="Tahoma" w:hAnsi="Tahoma" w:cs="Tahoma"/>
          <w:b/>
        </w:rPr>
      </w:pPr>
    </w:p>
    <w:p w:rsidR="00EF0F9F" w:rsidRPr="00231ECA" w:rsidRDefault="00153A3B" w:rsidP="00EF0F9F">
      <w:pPr>
        <w:autoSpaceDE w:val="0"/>
        <w:autoSpaceDN w:val="0"/>
        <w:adjustRightInd w:val="0"/>
        <w:spacing w:before="0" w:after="0"/>
        <w:jc w:val="both"/>
        <w:rPr>
          <w:rFonts w:ascii="Tahoma" w:hAnsi="Tahoma" w:cs="Tahoma"/>
          <w:b/>
        </w:rPr>
      </w:pPr>
      <w:r w:rsidRPr="00231ECA">
        <w:rPr>
          <w:rFonts w:ascii="Tahoma" w:eastAsiaTheme="minorHAnsi" w:hAnsi="Tahoma" w:cs="Tahoma"/>
          <w:color w:val="auto"/>
          <w:lang w:eastAsia="en-US"/>
        </w:rPr>
        <w:t>El presupuesto Municipal, es por excelencia una de las principales herramientas de planeación</w:t>
      </w:r>
      <w:r w:rsidR="00AE23D3" w:rsidRPr="00231ECA">
        <w:rPr>
          <w:rFonts w:ascii="Tahoma" w:eastAsiaTheme="minorHAnsi" w:hAnsi="Tahoma" w:cs="Tahoma"/>
          <w:color w:val="auto"/>
          <w:lang w:eastAsia="en-US"/>
        </w:rPr>
        <w:t xml:space="preserve"> </w:t>
      </w:r>
      <w:r w:rsidR="00D27BCA" w:rsidRPr="00231ECA">
        <w:rPr>
          <w:rFonts w:ascii="Tahoma" w:eastAsiaTheme="minorHAnsi" w:hAnsi="Tahoma" w:cs="Tahoma"/>
          <w:color w:val="auto"/>
          <w:lang w:eastAsia="en-US"/>
        </w:rPr>
        <w:t xml:space="preserve">y en él se </w:t>
      </w:r>
      <w:r w:rsidR="00CA669B" w:rsidRPr="00231ECA">
        <w:rPr>
          <w:rFonts w:ascii="Tahoma" w:eastAsiaTheme="minorHAnsi" w:hAnsi="Tahoma" w:cs="Tahoma"/>
          <w:color w:val="auto"/>
          <w:lang w:eastAsia="en-US"/>
        </w:rPr>
        <w:t>deben</w:t>
      </w:r>
      <w:r w:rsidR="00D27BCA" w:rsidRPr="00231ECA">
        <w:rPr>
          <w:rFonts w:ascii="Tahoma" w:eastAsiaTheme="minorHAnsi" w:hAnsi="Tahoma" w:cs="Tahoma"/>
          <w:color w:val="auto"/>
          <w:lang w:eastAsia="en-US"/>
        </w:rPr>
        <w:t xml:space="preserve"> </w:t>
      </w:r>
      <w:r w:rsidR="00EF0F9F" w:rsidRPr="00231ECA">
        <w:rPr>
          <w:rFonts w:ascii="Tahoma" w:eastAsiaTheme="minorHAnsi" w:hAnsi="Tahoma" w:cs="Tahoma"/>
          <w:color w:val="auto"/>
          <w:lang w:eastAsia="en-US"/>
        </w:rPr>
        <w:t>Proyectar los ingresos y rentas a percibir durante la vigencia fiscal y autorizar los respectivos gastos e inversiones; Atender criterios de prioridad, de los programas y proyectos contenidos en el Plan de Desarrollo, y</w:t>
      </w:r>
      <w:r w:rsidR="00CA669B" w:rsidRPr="00231ECA">
        <w:rPr>
          <w:rFonts w:ascii="Tahoma" w:eastAsiaTheme="minorHAnsi" w:hAnsi="Tahoma" w:cs="Tahoma"/>
          <w:color w:val="auto"/>
          <w:lang w:eastAsia="en-US"/>
        </w:rPr>
        <w:t xml:space="preserve"> </w:t>
      </w:r>
      <w:r w:rsidR="00EF0F9F" w:rsidRPr="00231ECA">
        <w:rPr>
          <w:rFonts w:ascii="Tahoma" w:eastAsiaTheme="minorHAnsi" w:hAnsi="Tahoma" w:cs="Tahoma"/>
          <w:color w:val="auto"/>
          <w:lang w:eastAsia="en-US"/>
        </w:rPr>
        <w:t>Alcanzar objetivos financieros, que no son otra cosa que adecuar el comportamiento real de los ingresos a las proyecciones contenidas en el Plan de Desarrollo.</w:t>
      </w:r>
    </w:p>
    <w:p w:rsidR="005C0DCB" w:rsidRPr="00231ECA" w:rsidRDefault="005C0DCB" w:rsidP="005C0DCB">
      <w:pPr>
        <w:tabs>
          <w:tab w:val="left" w:pos="7907"/>
        </w:tabs>
        <w:spacing w:before="0" w:after="0" w:line="228" w:lineRule="auto"/>
        <w:jc w:val="both"/>
        <w:rPr>
          <w:rFonts w:ascii="Tahoma" w:hAnsi="Tahoma" w:cs="Tahoma"/>
          <w:b/>
        </w:rPr>
      </w:pPr>
    </w:p>
    <w:p w:rsidR="005C0DCB" w:rsidRDefault="005C0DCB" w:rsidP="005C0DCB">
      <w:pPr>
        <w:tabs>
          <w:tab w:val="left" w:pos="7907"/>
        </w:tabs>
        <w:spacing w:before="0" w:after="0" w:line="228" w:lineRule="auto"/>
        <w:jc w:val="both"/>
        <w:rPr>
          <w:rFonts w:ascii="Tahoma" w:hAnsi="Tahoma" w:cs="Tahoma"/>
        </w:rPr>
      </w:pPr>
    </w:p>
    <w:p w:rsidR="00E0299E" w:rsidRPr="00231ECA" w:rsidRDefault="00E0299E" w:rsidP="005C0DCB">
      <w:pPr>
        <w:tabs>
          <w:tab w:val="left" w:pos="7907"/>
        </w:tabs>
        <w:spacing w:before="0" w:after="0" w:line="228" w:lineRule="auto"/>
        <w:jc w:val="both"/>
        <w:rPr>
          <w:rFonts w:ascii="Tahoma" w:hAnsi="Tahoma" w:cs="Tahoma"/>
        </w:rPr>
      </w:pPr>
    </w:p>
    <w:p w:rsidR="009848DF" w:rsidRPr="00231ECA" w:rsidRDefault="009848DF" w:rsidP="005C0DCB">
      <w:pPr>
        <w:tabs>
          <w:tab w:val="left" w:pos="7907"/>
        </w:tabs>
        <w:spacing w:before="0" w:after="0" w:line="228" w:lineRule="auto"/>
        <w:jc w:val="both"/>
        <w:rPr>
          <w:rFonts w:ascii="Tahoma" w:hAnsi="Tahoma" w:cs="Tahoma"/>
        </w:rPr>
      </w:pPr>
    </w:p>
    <w:p w:rsidR="009848DF" w:rsidRDefault="009848DF" w:rsidP="005C0DCB">
      <w:pPr>
        <w:tabs>
          <w:tab w:val="left" w:pos="7907"/>
        </w:tabs>
        <w:spacing w:before="0" w:after="0" w:line="228" w:lineRule="auto"/>
        <w:jc w:val="both"/>
        <w:rPr>
          <w:rFonts w:ascii="Tahoma" w:hAnsi="Tahoma" w:cs="Tahoma"/>
        </w:rPr>
      </w:pPr>
    </w:p>
    <w:p w:rsidR="005F4548" w:rsidRDefault="005F4548" w:rsidP="005C0DCB">
      <w:pPr>
        <w:tabs>
          <w:tab w:val="left" w:pos="7907"/>
        </w:tabs>
        <w:spacing w:before="0" w:after="0" w:line="228" w:lineRule="auto"/>
        <w:jc w:val="both"/>
        <w:rPr>
          <w:rFonts w:ascii="Tahoma" w:hAnsi="Tahoma" w:cs="Tahoma"/>
        </w:rPr>
      </w:pPr>
    </w:p>
    <w:p w:rsidR="00CB6D39" w:rsidRDefault="00CB6D39" w:rsidP="00DF6119">
      <w:pPr>
        <w:spacing w:before="0" w:after="0" w:line="228" w:lineRule="auto"/>
        <w:jc w:val="both"/>
        <w:rPr>
          <w:rFonts w:ascii="Tahoma" w:hAnsi="Tahoma" w:cs="Tahoma"/>
        </w:rPr>
      </w:pPr>
    </w:p>
    <w:p w:rsidR="00E566A8" w:rsidRDefault="00B212CE" w:rsidP="005220BC">
      <w:pPr>
        <w:pStyle w:val="Prrafodelista"/>
        <w:numPr>
          <w:ilvl w:val="1"/>
          <w:numId w:val="2"/>
        </w:numPr>
        <w:spacing w:before="0" w:after="0" w:line="19" w:lineRule="atLeast"/>
        <w:rPr>
          <w:rFonts w:ascii="Tahoma" w:hAnsi="Tahoma" w:cs="Tahoma"/>
          <w:b/>
        </w:rPr>
      </w:pPr>
      <w:r w:rsidRPr="009848DF">
        <w:rPr>
          <w:rFonts w:ascii="Tahoma" w:hAnsi="Tahoma" w:cs="Tahoma"/>
          <w:b/>
        </w:rPr>
        <w:lastRenderedPageBreak/>
        <w:t xml:space="preserve">ANALISIS A LA </w:t>
      </w:r>
      <w:r w:rsidR="00524E1D" w:rsidRPr="009848DF">
        <w:rPr>
          <w:rFonts w:ascii="Tahoma" w:hAnsi="Tahoma" w:cs="Tahoma"/>
          <w:b/>
        </w:rPr>
        <w:t xml:space="preserve">EJECUCION </w:t>
      </w:r>
      <w:r w:rsidR="00E508CB" w:rsidRPr="009848DF">
        <w:rPr>
          <w:rFonts w:ascii="Tahoma" w:hAnsi="Tahoma" w:cs="Tahoma"/>
          <w:b/>
        </w:rPr>
        <w:t xml:space="preserve"> </w:t>
      </w:r>
      <w:r w:rsidR="00524E1D" w:rsidRPr="009848DF">
        <w:rPr>
          <w:rFonts w:ascii="Tahoma" w:hAnsi="Tahoma" w:cs="Tahoma"/>
          <w:b/>
        </w:rPr>
        <w:t>PRESUPUEST</w:t>
      </w:r>
      <w:r w:rsidRPr="009848DF">
        <w:rPr>
          <w:rFonts w:ascii="Tahoma" w:hAnsi="Tahoma" w:cs="Tahoma"/>
          <w:b/>
        </w:rPr>
        <w:t xml:space="preserve">AL </w:t>
      </w:r>
      <w:r w:rsidR="00524E1D" w:rsidRPr="009848DF">
        <w:rPr>
          <w:rFonts w:ascii="Tahoma" w:hAnsi="Tahoma" w:cs="Tahoma"/>
          <w:b/>
        </w:rPr>
        <w:t xml:space="preserve">DE </w:t>
      </w:r>
      <w:r w:rsidRPr="009848DF">
        <w:rPr>
          <w:rFonts w:ascii="Tahoma" w:hAnsi="Tahoma" w:cs="Tahoma"/>
          <w:b/>
        </w:rPr>
        <w:t xml:space="preserve"> </w:t>
      </w:r>
      <w:r w:rsidR="00524E1D" w:rsidRPr="009848DF">
        <w:rPr>
          <w:rFonts w:ascii="Tahoma" w:hAnsi="Tahoma" w:cs="Tahoma"/>
          <w:b/>
        </w:rPr>
        <w:t>INGRESOS</w:t>
      </w:r>
    </w:p>
    <w:p w:rsidR="009848DF" w:rsidRDefault="009848DF" w:rsidP="009848DF">
      <w:pPr>
        <w:spacing w:before="0" w:after="0" w:line="19" w:lineRule="atLeast"/>
        <w:rPr>
          <w:rFonts w:ascii="Tahoma" w:hAnsi="Tahoma" w:cs="Tahoma"/>
          <w:b/>
        </w:rPr>
      </w:pPr>
    </w:p>
    <w:p w:rsidR="008B0625" w:rsidRDefault="008445AE" w:rsidP="00B26183">
      <w:pPr>
        <w:jc w:val="both"/>
        <w:rPr>
          <w:rFonts w:ascii="Tahoma" w:eastAsia="Times New Roman" w:hAnsi="Tahoma" w:cs="Tahoma"/>
          <w:b/>
          <w:bCs/>
          <w:color w:val="auto"/>
        </w:rPr>
      </w:pPr>
      <w:r w:rsidRPr="005540CE">
        <w:rPr>
          <w:rFonts w:ascii="Tahoma" w:hAnsi="Tahoma" w:cs="Tahoma"/>
        </w:rPr>
        <w:t xml:space="preserve">El presupuesto </w:t>
      </w:r>
      <w:r w:rsidR="009848DF">
        <w:rPr>
          <w:rFonts w:ascii="Tahoma" w:hAnsi="Tahoma" w:cs="Tahoma"/>
        </w:rPr>
        <w:t xml:space="preserve">de Ingresos </w:t>
      </w:r>
      <w:r w:rsidR="00DA6502">
        <w:rPr>
          <w:rFonts w:ascii="Tahoma" w:hAnsi="Tahoma" w:cs="Tahoma"/>
        </w:rPr>
        <w:t>d</w:t>
      </w:r>
      <w:r w:rsidR="009848DF">
        <w:rPr>
          <w:rFonts w:ascii="Tahoma" w:hAnsi="Tahoma" w:cs="Tahoma"/>
        </w:rPr>
        <w:t xml:space="preserve">el Municipio de </w:t>
      </w:r>
      <w:r w:rsidR="007D2E65">
        <w:rPr>
          <w:rFonts w:ascii="Tahoma" w:hAnsi="Tahoma" w:cs="Tahoma"/>
        </w:rPr>
        <w:t>Amb</w:t>
      </w:r>
      <w:r w:rsidR="0055306E">
        <w:rPr>
          <w:rFonts w:ascii="Tahoma" w:hAnsi="Tahoma" w:cs="Tahoma"/>
        </w:rPr>
        <w:t>a</w:t>
      </w:r>
      <w:r w:rsidR="007D2E65">
        <w:rPr>
          <w:rFonts w:ascii="Tahoma" w:hAnsi="Tahoma" w:cs="Tahoma"/>
        </w:rPr>
        <w:t>lema</w:t>
      </w:r>
      <w:r w:rsidR="009848DF">
        <w:rPr>
          <w:rFonts w:ascii="Tahoma" w:hAnsi="Tahoma" w:cs="Tahoma"/>
        </w:rPr>
        <w:t xml:space="preserve"> </w:t>
      </w:r>
      <w:r w:rsidR="00735592">
        <w:rPr>
          <w:rFonts w:ascii="Tahoma" w:hAnsi="Tahoma" w:cs="Tahoma"/>
        </w:rPr>
        <w:t xml:space="preserve">para </w:t>
      </w:r>
      <w:r w:rsidR="009848DF">
        <w:rPr>
          <w:rFonts w:ascii="Tahoma" w:hAnsi="Tahoma" w:cs="Tahoma"/>
        </w:rPr>
        <w:t xml:space="preserve">la vigencia </w:t>
      </w:r>
      <w:r w:rsidR="00E27D3B">
        <w:rPr>
          <w:rFonts w:ascii="Tahoma" w:hAnsi="Tahoma" w:cs="Tahoma"/>
        </w:rPr>
        <w:t xml:space="preserve">fiscal </w:t>
      </w:r>
      <w:r w:rsidR="009848DF">
        <w:rPr>
          <w:rFonts w:ascii="Tahoma" w:hAnsi="Tahoma" w:cs="Tahoma"/>
        </w:rPr>
        <w:t>2015</w:t>
      </w:r>
      <w:r w:rsidR="00735592">
        <w:rPr>
          <w:rFonts w:ascii="Tahoma" w:hAnsi="Tahoma" w:cs="Tahoma"/>
        </w:rPr>
        <w:t xml:space="preserve"> </w:t>
      </w:r>
      <w:r w:rsidR="009848DF">
        <w:rPr>
          <w:rFonts w:ascii="Tahoma" w:hAnsi="Tahoma" w:cs="Tahoma"/>
        </w:rPr>
        <w:t xml:space="preserve">fue </w:t>
      </w:r>
      <w:r w:rsidR="00735592">
        <w:rPr>
          <w:rFonts w:ascii="Tahoma" w:hAnsi="Tahoma" w:cs="Tahoma"/>
        </w:rPr>
        <w:t xml:space="preserve">aprobado en la </w:t>
      </w:r>
      <w:r w:rsidR="00745F39">
        <w:rPr>
          <w:rFonts w:ascii="Tahoma" w:hAnsi="Tahoma" w:cs="Tahoma"/>
        </w:rPr>
        <w:t xml:space="preserve">cuantía </w:t>
      </w:r>
      <w:r w:rsidR="009848DF">
        <w:rPr>
          <w:rFonts w:ascii="Tahoma" w:hAnsi="Tahoma" w:cs="Tahoma"/>
        </w:rPr>
        <w:t xml:space="preserve">de </w:t>
      </w:r>
      <w:r w:rsidR="00174ED6" w:rsidRPr="00174ED6">
        <w:rPr>
          <w:rFonts w:ascii="Tahoma" w:hAnsi="Tahoma" w:cs="Tahoma"/>
          <w:b/>
        </w:rPr>
        <w:t>$5.234.010.313</w:t>
      </w:r>
      <w:r w:rsidR="00174ED6">
        <w:rPr>
          <w:rFonts w:ascii="Tahoma" w:hAnsi="Tahoma" w:cs="Tahoma"/>
          <w:b/>
        </w:rPr>
        <w:t xml:space="preserve">.oo, </w:t>
      </w:r>
      <w:r w:rsidR="009848DF" w:rsidRPr="00DA6502">
        <w:rPr>
          <w:rFonts w:ascii="Tahoma" w:hAnsi="Tahoma" w:cs="Tahoma"/>
          <w:color w:val="auto"/>
        </w:rPr>
        <w:t xml:space="preserve">presentó </w:t>
      </w:r>
      <w:r w:rsidR="00DA6502" w:rsidRPr="00DA6502">
        <w:rPr>
          <w:rFonts w:ascii="Tahoma" w:hAnsi="Tahoma" w:cs="Tahoma"/>
          <w:color w:val="auto"/>
        </w:rPr>
        <w:t>adiciones</w:t>
      </w:r>
      <w:r w:rsidR="00735592">
        <w:rPr>
          <w:rFonts w:ascii="Tahoma" w:hAnsi="Tahoma" w:cs="Tahoma"/>
          <w:color w:val="auto"/>
        </w:rPr>
        <w:t xml:space="preserve"> presupuestales por</w:t>
      </w:r>
      <w:r w:rsidR="009848DF" w:rsidRPr="00DA6502">
        <w:rPr>
          <w:rFonts w:ascii="Tahoma" w:hAnsi="Tahoma" w:cs="Tahoma"/>
          <w:color w:val="auto"/>
        </w:rPr>
        <w:t xml:space="preserve"> </w:t>
      </w:r>
      <w:r w:rsidR="00174ED6" w:rsidRPr="00231ECA">
        <w:rPr>
          <w:rFonts w:ascii="Tahoma" w:hAnsi="Tahoma" w:cs="Tahoma"/>
          <w:b/>
          <w:color w:val="auto"/>
        </w:rPr>
        <w:t>$</w:t>
      </w:r>
      <w:r w:rsidR="00174ED6">
        <w:rPr>
          <w:rFonts w:ascii="Tahoma" w:hAnsi="Tahoma" w:cs="Tahoma"/>
          <w:b/>
          <w:color w:val="auto"/>
        </w:rPr>
        <w:t>4.205.494.211o</w:t>
      </w:r>
      <w:r w:rsidR="00174ED6" w:rsidRPr="00231ECA">
        <w:rPr>
          <w:rFonts w:ascii="Tahoma" w:hAnsi="Tahoma" w:cs="Tahoma"/>
          <w:b/>
          <w:color w:val="auto"/>
        </w:rPr>
        <w:t>o</w:t>
      </w:r>
      <w:r w:rsidR="00174ED6" w:rsidRPr="00CA669B">
        <w:rPr>
          <w:rFonts w:ascii="Tahoma" w:hAnsi="Tahoma" w:cs="Tahoma"/>
          <w:b/>
          <w:color w:val="auto"/>
        </w:rPr>
        <w:t>,</w:t>
      </w:r>
      <w:r w:rsidR="00174ED6">
        <w:rPr>
          <w:rFonts w:ascii="Tahoma" w:hAnsi="Tahoma" w:cs="Tahoma"/>
          <w:b/>
          <w:color w:val="auto"/>
        </w:rPr>
        <w:t xml:space="preserve"> </w:t>
      </w:r>
      <w:r w:rsidR="00735592">
        <w:rPr>
          <w:rFonts w:ascii="Tahoma" w:eastAsia="Times New Roman" w:hAnsi="Tahoma" w:cs="Tahoma"/>
          <w:bCs/>
          <w:color w:val="auto"/>
        </w:rPr>
        <w:t xml:space="preserve">y </w:t>
      </w:r>
      <w:r w:rsidR="00B26183">
        <w:rPr>
          <w:rFonts w:ascii="Tahoma" w:eastAsia="Times New Roman" w:hAnsi="Tahoma" w:cs="Tahoma"/>
          <w:bCs/>
          <w:color w:val="auto"/>
        </w:rPr>
        <w:t xml:space="preserve">reducciones por </w:t>
      </w:r>
      <w:r w:rsidR="00B26183" w:rsidRPr="00B26183">
        <w:rPr>
          <w:rFonts w:ascii="Tahoma" w:eastAsia="Times New Roman" w:hAnsi="Tahoma" w:cs="Tahoma"/>
          <w:b/>
          <w:bCs/>
          <w:color w:val="auto"/>
        </w:rPr>
        <w:t>$</w:t>
      </w:r>
      <w:r w:rsidR="00174ED6">
        <w:rPr>
          <w:rFonts w:ascii="Tahoma" w:eastAsia="Times New Roman" w:hAnsi="Tahoma" w:cs="Tahoma"/>
          <w:b/>
          <w:bCs/>
          <w:color w:val="auto"/>
        </w:rPr>
        <w:t>39.709.877</w:t>
      </w:r>
      <w:r w:rsidR="00DA6502" w:rsidRPr="00B26183">
        <w:rPr>
          <w:rFonts w:ascii="Tahoma" w:eastAsia="Times New Roman" w:hAnsi="Tahoma" w:cs="Tahoma"/>
          <w:b/>
          <w:bCs/>
          <w:color w:val="auto"/>
        </w:rPr>
        <w:t>.oo</w:t>
      </w:r>
      <w:r w:rsidR="00DA6502">
        <w:rPr>
          <w:rFonts w:ascii="Tahoma" w:eastAsia="Times New Roman" w:hAnsi="Tahoma" w:cs="Tahoma"/>
          <w:bCs/>
          <w:color w:val="auto"/>
        </w:rPr>
        <w:t xml:space="preserve">, para un presupuesto definitivo a Diciembre 31 de 2015 de </w:t>
      </w:r>
      <w:r w:rsidR="00DA6502" w:rsidRPr="00B26183">
        <w:rPr>
          <w:rFonts w:ascii="Tahoma" w:eastAsia="Times New Roman" w:hAnsi="Tahoma" w:cs="Tahoma"/>
          <w:b/>
          <w:bCs/>
          <w:color w:val="auto"/>
        </w:rPr>
        <w:t>$</w:t>
      </w:r>
      <w:r w:rsidR="00174ED6">
        <w:rPr>
          <w:rFonts w:ascii="Tahoma" w:eastAsia="Times New Roman" w:hAnsi="Tahoma" w:cs="Tahoma"/>
          <w:b/>
          <w:bCs/>
          <w:color w:val="auto"/>
        </w:rPr>
        <w:t>9.399.794.647</w:t>
      </w:r>
      <w:r w:rsidR="008B0625">
        <w:rPr>
          <w:rFonts w:ascii="Tahoma" w:eastAsia="Times New Roman" w:hAnsi="Tahoma" w:cs="Tahoma"/>
          <w:b/>
          <w:bCs/>
          <w:color w:val="auto"/>
        </w:rPr>
        <w:t>.oo.</w:t>
      </w:r>
    </w:p>
    <w:p w:rsidR="008B0625" w:rsidRDefault="008B0625" w:rsidP="009848DF">
      <w:pPr>
        <w:tabs>
          <w:tab w:val="left" w:pos="2835"/>
        </w:tabs>
        <w:spacing w:before="0" w:after="0" w:line="19" w:lineRule="atLeast"/>
        <w:jc w:val="both"/>
        <w:rPr>
          <w:rFonts w:ascii="Tahoma" w:eastAsia="Times New Roman" w:hAnsi="Tahoma" w:cs="Tahoma"/>
          <w:b/>
          <w:bCs/>
          <w:color w:val="auto"/>
        </w:rPr>
      </w:pPr>
    </w:p>
    <w:p w:rsidR="00CB6457" w:rsidRDefault="00CB6457" w:rsidP="009848DF">
      <w:pPr>
        <w:tabs>
          <w:tab w:val="left" w:pos="2835"/>
        </w:tabs>
        <w:spacing w:before="0" w:after="0" w:line="19" w:lineRule="atLeast"/>
        <w:jc w:val="both"/>
        <w:rPr>
          <w:rFonts w:ascii="Tahoma" w:eastAsia="Times New Roman" w:hAnsi="Tahoma" w:cs="Tahoma"/>
          <w:b/>
          <w:bCs/>
          <w:color w:val="auto"/>
        </w:rPr>
      </w:pPr>
    </w:p>
    <w:tbl>
      <w:tblPr>
        <w:tblStyle w:val="Tablaconcuadrcula"/>
        <w:tblW w:w="9057" w:type="dxa"/>
        <w:tblLayout w:type="fixed"/>
        <w:tblLook w:val="04A0" w:firstRow="1" w:lastRow="0" w:firstColumn="1" w:lastColumn="0" w:noHBand="0" w:noVBand="1"/>
      </w:tblPr>
      <w:tblGrid>
        <w:gridCol w:w="2376"/>
        <w:gridCol w:w="2268"/>
        <w:gridCol w:w="1843"/>
        <w:gridCol w:w="2570"/>
      </w:tblGrid>
      <w:tr w:rsidR="008B0625" w:rsidRPr="00BA1DE4" w:rsidTr="002733BF">
        <w:trPr>
          <w:trHeight w:val="327"/>
        </w:trPr>
        <w:tc>
          <w:tcPr>
            <w:tcW w:w="2376" w:type="dxa"/>
          </w:tcPr>
          <w:p w:rsidR="008B0625" w:rsidRPr="00B26183" w:rsidRDefault="008B0625" w:rsidP="0051644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INICIAL</w:t>
            </w:r>
          </w:p>
        </w:tc>
        <w:tc>
          <w:tcPr>
            <w:tcW w:w="2268" w:type="dxa"/>
          </w:tcPr>
          <w:p w:rsidR="008B0625" w:rsidRPr="00B26183" w:rsidRDefault="008B0625" w:rsidP="0051644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ADICIONES</w:t>
            </w:r>
          </w:p>
        </w:tc>
        <w:tc>
          <w:tcPr>
            <w:tcW w:w="1843" w:type="dxa"/>
          </w:tcPr>
          <w:p w:rsidR="008B0625" w:rsidRPr="00B26183" w:rsidRDefault="008B0625" w:rsidP="0051644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REDUCCIONES</w:t>
            </w:r>
          </w:p>
        </w:tc>
        <w:tc>
          <w:tcPr>
            <w:tcW w:w="2570" w:type="dxa"/>
          </w:tcPr>
          <w:p w:rsidR="008B0625" w:rsidRPr="00B26183" w:rsidRDefault="008B0625" w:rsidP="0051644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DEFINITIVO</w:t>
            </w:r>
          </w:p>
        </w:tc>
      </w:tr>
      <w:tr w:rsidR="008B0625" w:rsidRPr="00BA1DE4" w:rsidTr="002733BF">
        <w:trPr>
          <w:trHeight w:val="551"/>
        </w:trPr>
        <w:tc>
          <w:tcPr>
            <w:tcW w:w="2376" w:type="dxa"/>
          </w:tcPr>
          <w:p w:rsidR="008B0625" w:rsidRPr="00B26183" w:rsidRDefault="00B26183" w:rsidP="00174ED6">
            <w:pPr>
              <w:tabs>
                <w:tab w:val="left" w:pos="2835"/>
              </w:tabs>
              <w:spacing w:before="0" w:line="19" w:lineRule="atLeast"/>
              <w:jc w:val="center"/>
              <w:rPr>
                <w:rFonts w:ascii="Tahoma" w:eastAsia="Times New Roman" w:hAnsi="Tahoma" w:cs="Tahoma"/>
                <w:bCs/>
                <w:color w:val="auto"/>
                <w:sz w:val="20"/>
                <w:szCs w:val="20"/>
                <w:vertAlign w:val="subscript"/>
              </w:rPr>
            </w:pPr>
            <w:r w:rsidRPr="00B26183">
              <w:rPr>
                <w:rFonts w:ascii="Tahoma" w:hAnsi="Tahoma" w:cs="Tahoma"/>
                <w:color w:val="auto"/>
                <w:sz w:val="20"/>
                <w:szCs w:val="20"/>
              </w:rPr>
              <w:t>$</w:t>
            </w:r>
            <w:r w:rsidR="00174ED6">
              <w:rPr>
                <w:rFonts w:ascii="Tahoma" w:hAnsi="Tahoma" w:cs="Tahoma"/>
                <w:color w:val="auto"/>
                <w:sz w:val="20"/>
                <w:szCs w:val="20"/>
              </w:rPr>
              <w:t>5.234.010.313</w:t>
            </w:r>
            <w:r w:rsidRPr="00B26183">
              <w:rPr>
                <w:rFonts w:ascii="Tahoma" w:hAnsi="Tahoma" w:cs="Tahoma"/>
                <w:color w:val="auto"/>
                <w:sz w:val="20"/>
                <w:szCs w:val="20"/>
              </w:rPr>
              <w:t>.oo</w:t>
            </w:r>
          </w:p>
        </w:tc>
        <w:tc>
          <w:tcPr>
            <w:tcW w:w="2268" w:type="dxa"/>
          </w:tcPr>
          <w:p w:rsidR="008B0625" w:rsidRPr="00B26183" w:rsidRDefault="00B26183" w:rsidP="00174ED6">
            <w:pPr>
              <w:tabs>
                <w:tab w:val="left" w:pos="2835"/>
              </w:tabs>
              <w:spacing w:before="0" w:line="19" w:lineRule="atLeast"/>
              <w:jc w:val="center"/>
              <w:rPr>
                <w:rFonts w:ascii="Tahoma" w:eastAsia="Times New Roman" w:hAnsi="Tahoma" w:cs="Tahoma"/>
                <w:bCs/>
                <w:color w:val="auto"/>
                <w:sz w:val="20"/>
                <w:szCs w:val="20"/>
                <w:vertAlign w:val="subscript"/>
              </w:rPr>
            </w:pPr>
            <w:r w:rsidRPr="00B26183">
              <w:rPr>
                <w:rFonts w:ascii="Tahoma" w:hAnsi="Tahoma" w:cs="Tahoma"/>
                <w:color w:val="auto"/>
                <w:sz w:val="20"/>
                <w:szCs w:val="20"/>
              </w:rPr>
              <w:t>$</w:t>
            </w:r>
            <w:r w:rsidR="00174ED6">
              <w:rPr>
                <w:rFonts w:ascii="Tahoma" w:hAnsi="Tahoma" w:cs="Tahoma"/>
                <w:color w:val="auto"/>
                <w:sz w:val="20"/>
                <w:szCs w:val="20"/>
              </w:rPr>
              <w:t>4.205.494.211.</w:t>
            </w:r>
            <w:r w:rsidRPr="00B26183">
              <w:rPr>
                <w:rFonts w:ascii="Tahoma" w:eastAsia="Times New Roman" w:hAnsi="Tahoma" w:cs="Tahoma"/>
                <w:bCs/>
                <w:color w:val="auto"/>
                <w:sz w:val="20"/>
                <w:szCs w:val="20"/>
              </w:rPr>
              <w:t>oo</w:t>
            </w:r>
          </w:p>
        </w:tc>
        <w:tc>
          <w:tcPr>
            <w:tcW w:w="1843" w:type="dxa"/>
          </w:tcPr>
          <w:p w:rsidR="008B0625" w:rsidRPr="00B26183" w:rsidRDefault="00516441" w:rsidP="00174ED6">
            <w:pPr>
              <w:tabs>
                <w:tab w:val="left" w:pos="2835"/>
              </w:tabs>
              <w:spacing w:before="0" w:line="19" w:lineRule="atLeast"/>
              <w:jc w:val="center"/>
              <w:rPr>
                <w:rFonts w:ascii="Tahoma" w:eastAsia="Times New Roman" w:hAnsi="Tahoma" w:cs="Tahoma"/>
                <w:bCs/>
                <w:color w:val="auto"/>
                <w:sz w:val="20"/>
                <w:szCs w:val="20"/>
                <w:vertAlign w:val="subscript"/>
              </w:rPr>
            </w:pPr>
            <w:r>
              <w:rPr>
                <w:rFonts w:ascii="Tahoma" w:eastAsia="Times New Roman" w:hAnsi="Tahoma" w:cs="Tahoma"/>
                <w:bCs/>
                <w:color w:val="auto"/>
                <w:sz w:val="20"/>
                <w:szCs w:val="20"/>
              </w:rPr>
              <w:t>$</w:t>
            </w:r>
            <w:r w:rsidR="00174ED6">
              <w:rPr>
                <w:rFonts w:ascii="Tahoma" w:eastAsia="Times New Roman" w:hAnsi="Tahoma" w:cs="Tahoma"/>
                <w:bCs/>
                <w:color w:val="auto"/>
                <w:sz w:val="20"/>
                <w:szCs w:val="20"/>
              </w:rPr>
              <w:t>39.709.877</w:t>
            </w:r>
            <w:r w:rsidR="00B26183" w:rsidRPr="00B26183">
              <w:rPr>
                <w:rFonts w:ascii="Tahoma" w:eastAsia="Times New Roman" w:hAnsi="Tahoma" w:cs="Tahoma"/>
                <w:bCs/>
                <w:color w:val="auto"/>
                <w:sz w:val="20"/>
                <w:szCs w:val="20"/>
              </w:rPr>
              <w:t>.oo</w:t>
            </w:r>
          </w:p>
        </w:tc>
        <w:tc>
          <w:tcPr>
            <w:tcW w:w="2570" w:type="dxa"/>
          </w:tcPr>
          <w:p w:rsidR="008B0625" w:rsidRPr="00B26183" w:rsidRDefault="00B26183" w:rsidP="00174ED6">
            <w:pPr>
              <w:tabs>
                <w:tab w:val="left" w:pos="2835"/>
              </w:tabs>
              <w:spacing w:before="0" w:line="19" w:lineRule="atLeast"/>
              <w:jc w:val="center"/>
              <w:rPr>
                <w:rFonts w:ascii="Tahoma" w:eastAsia="Times New Roman" w:hAnsi="Tahoma" w:cs="Tahoma"/>
                <w:bCs/>
                <w:color w:val="auto"/>
                <w:sz w:val="20"/>
                <w:szCs w:val="20"/>
                <w:vertAlign w:val="subscript"/>
              </w:rPr>
            </w:pPr>
            <w:r w:rsidRPr="00B26183">
              <w:rPr>
                <w:rFonts w:ascii="Tahoma" w:eastAsia="Times New Roman" w:hAnsi="Tahoma" w:cs="Tahoma"/>
                <w:bCs/>
                <w:color w:val="auto"/>
                <w:sz w:val="20"/>
                <w:szCs w:val="20"/>
              </w:rPr>
              <w:t>$</w:t>
            </w:r>
            <w:r w:rsidR="00174ED6">
              <w:rPr>
                <w:rFonts w:ascii="Tahoma" w:eastAsia="Times New Roman" w:hAnsi="Tahoma" w:cs="Tahoma"/>
                <w:bCs/>
                <w:color w:val="auto"/>
                <w:sz w:val="20"/>
                <w:szCs w:val="20"/>
              </w:rPr>
              <w:t>9.399.794.647</w:t>
            </w:r>
            <w:r w:rsidRPr="00B26183">
              <w:rPr>
                <w:rFonts w:ascii="Tahoma" w:eastAsia="Times New Roman" w:hAnsi="Tahoma" w:cs="Tahoma"/>
                <w:bCs/>
                <w:color w:val="auto"/>
                <w:sz w:val="20"/>
                <w:szCs w:val="20"/>
              </w:rPr>
              <w:t>.oo</w:t>
            </w:r>
          </w:p>
        </w:tc>
      </w:tr>
    </w:tbl>
    <w:p w:rsidR="002016AE" w:rsidRPr="00256F6A" w:rsidRDefault="00256F6A" w:rsidP="009848DF">
      <w:pPr>
        <w:tabs>
          <w:tab w:val="left" w:pos="2835"/>
        </w:tabs>
        <w:spacing w:before="0" w:after="0" w:line="19" w:lineRule="atLeast"/>
        <w:jc w:val="both"/>
        <w:rPr>
          <w:rFonts w:ascii="Tahoma" w:eastAsia="Times New Roman" w:hAnsi="Tahoma" w:cs="Tahoma"/>
          <w:bCs/>
          <w:color w:val="auto"/>
          <w:vertAlign w:val="subscript"/>
        </w:rPr>
      </w:pPr>
      <w:r w:rsidRPr="00256F6A">
        <w:rPr>
          <w:rFonts w:ascii="Tahoma" w:eastAsia="Times New Roman" w:hAnsi="Tahoma" w:cs="Tahoma"/>
          <w:bCs/>
          <w:color w:val="auto"/>
          <w:vertAlign w:val="subscript"/>
        </w:rPr>
        <w:t>Información tomada de la ejecución presupuestal del Municipio</w:t>
      </w:r>
      <w:r>
        <w:rPr>
          <w:rFonts w:ascii="Tahoma" w:eastAsia="Times New Roman" w:hAnsi="Tahoma" w:cs="Tahoma"/>
          <w:bCs/>
          <w:color w:val="auto"/>
          <w:vertAlign w:val="subscript"/>
        </w:rPr>
        <w:t xml:space="preserve"> vigencia 2015</w:t>
      </w:r>
    </w:p>
    <w:p w:rsidR="00CB6457" w:rsidRDefault="00CB6457" w:rsidP="003F4BDE">
      <w:pPr>
        <w:tabs>
          <w:tab w:val="left" w:pos="4760"/>
          <w:tab w:val="left" w:pos="6013"/>
          <w:tab w:val="left" w:pos="6693"/>
        </w:tabs>
        <w:spacing w:before="0" w:after="0" w:line="19" w:lineRule="atLeast"/>
        <w:jc w:val="both"/>
        <w:rPr>
          <w:rFonts w:ascii="Tahoma" w:eastAsia="Times New Roman" w:hAnsi="Tahoma" w:cs="Tahoma"/>
          <w:bCs/>
          <w:color w:val="auto"/>
        </w:rPr>
      </w:pPr>
    </w:p>
    <w:p w:rsidR="003F4BDE" w:rsidRDefault="00735592" w:rsidP="003F4BDE">
      <w:pPr>
        <w:tabs>
          <w:tab w:val="left" w:pos="4760"/>
          <w:tab w:val="left" w:pos="6013"/>
          <w:tab w:val="left" w:pos="6693"/>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tab/>
      </w:r>
      <w:r w:rsidR="00256F6A">
        <w:rPr>
          <w:rFonts w:ascii="Tahoma" w:eastAsia="Times New Roman" w:hAnsi="Tahoma" w:cs="Tahoma"/>
          <w:bCs/>
          <w:color w:val="auto"/>
        </w:rPr>
        <w:tab/>
      </w:r>
    </w:p>
    <w:p w:rsidR="002016AE" w:rsidRDefault="00233415" w:rsidP="00256F6A">
      <w:pPr>
        <w:tabs>
          <w:tab w:val="left" w:pos="2835"/>
        </w:tabs>
        <w:spacing w:before="0" w:after="0" w:line="19" w:lineRule="atLeast"/>
        <w:jc w:val="center"/>
        <w:rPr>
          <w:rFonts w:ascii="Tahoma" w:eastAsia="Times New Roman" w:hAnsi="Tahoma" w:cs="Tahoma"/>
          <w:bCs/>
          <w:color w:val="auto"/>
        </w:rPr>
      </w:pPr>
      <w:r>
        <w:rPr>
          <w:rFonts w:ascii="Tahoma" w:eastAsia="Times New Roman" w:hAnsi="Tahoma" w:cs="Tahoma"/>
          <w:bCs/>
          <w:noProof/>
          <w:color w:val="auto"/>
        </w:rPr>
        <w:drawing>
          <wp:inline distT="0" distB="0" distL="0" distR="0" wp14:anchorId="390EFDCC" wp14:editId="0F2B43CB">
            <wp:extent cx="5410200" cy="3840480"/>
            <wp:effectExtent l="0" t="0" r="19050" b="26670"/>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54CD9" w:rsidRDefault="00054CD9" w:rsidP="009A7AA1">
      <w:pPr>
        <w:jc w:val="both"/>
        <w:rPr>
          <w:rFonts w:ascii="Tahoma" w:eastAsia="Times New Roman" w:hAnsi="Tahoma" w:cs="Tahoma"/>
          <w:bCs/>
          <w:color w:val="auto"/>
        </w:rPr>
      </w:pPr>
    </w:p>
    <w:p w:rsidR="00F8609F" w:rsidRDefault="00F8609F" w:rsidP="009A7AA1">
      <w:pPr>
        <w:jc w:val="both"/>
        <w:rPr>
          <w:rFonts w:ascii="Tahoma" w:eastAsia="Times New Roman" w:hAnsi="Tahoma" w:cs="Tahoma"/>
          <w:color w:val="auto"/>
        </w:rPr>
      </w:pPr>
    </w:p>
    <w:p w:rsidR="005F4548" w:rsidRDefault="005F4548" w:rsidP="009A7AA1">
      <w:pPr>
        <w:jc w:val="both"/>
        <w:rPr>
          <w:rFonts w:ascii="Tahoma" w:eastAsia="Times New Roman" w:hAnsi="Tahoma" w:cs="Tahoma"/>
          <w:color w:val="auto"/>
        </w:rPr>
      </w:pPr>
    </w:p>
    <w:p w:rsidR="00820A3F" w:rsidRDefault="00685EF4" w:rsidP="00685EF4">
      <w:pPr>
        <w:rPr>
          <w:rFonts w:ascii="Tahoma" w:eastAsia="Times New Roman" w:hAnsi="Tahoma" w:cs="Tahoma"/>
          <w:b/>
          <w:color w:val="auto"/>
        </w:rPr>
      </w:pPr>
      <w:r w:rsidRPr="00685EF4">
        <w:rPr>
          <w:rFonts w:ascii="Tahoma" w:eastAsia="Times New Roman" w:hAnsi="Tahoma" w:cs="Tahoma"/>
          <w:b/>
          <w:color w:val="auto"/>
        </w:rPr>
        <w:t>PRESUPUESTO INICIAL DE INGRESOS</w:t>
      </w:r>
    </w:p>
    <w:p w:rsidR="009A7AA1" w:rsidRDefault="00582CF0" w:rsidP="00F8609F">
      <w:pPr>
        <w:jc w:val="center"/>
        <w:rPr>
          <w:rFonts w:ascii="Tahoma" w:eastAsia="Times New Roman" w:hAnsi="Tahoma" w:cs="Tahoma"/>
          <w:color w:val="auto"/>
        </w:rPr>
      </w:pPr>
      <w:r w:rsidRPr="00582CF0">
        <w:rPr>
          <w:noProof/>
        </w:rPr>
        <w:drawing>
          <wp:inline distT="0" distB="0" distL="0" distR="0" wp14:anchorId="1C695781" wp14:editId="104EA4D7">
            <wp:extent cx="4465320" cy="549402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465707" cy="5494496"/>
                    </a:xfrm>
                    <a:prstGeom prst="rect">
                      <a:avLst/>
                    </a:prstGeom>
                  </pic:spPr>
                </pic:pic>
              </a:graphicData>
            </a:graphic>
          </wp:inline>
        </w:drawing>
      </w:r>
    </w:p>
    <w:p w:rsidR="00231ECA" w:rsidRDefault="00231ECA" w:rsidP="00685EF4">
      <w:pPr>
        <w:jc w:val="both"/>
        <w:rPr>
          <w:rFonts w:ascii="Tahoma" w:eastAsia="Times New Roman" w:hAnsi="Tahoma" w:cs="Tahoma"/>
          <w:bCs/>
          <w:color w:val="auto"/>
        </w:rPr>
      </w:pPr>
    </w:p>
    <w:p w:rsidR="005F4548" w:rsidRDefault="00685EF4" w:rsidP="00591B11">
      <w:pPr>
        <w:jc w:val="both"/>
        <w:rPr>
          <w:rFonts w:ascii="Tahoma" w:eastAsia="Times New Roman" w:hAnsi="Tahoma" w:cs="Tahoma"/>
          <w:color w:val="auto"/>
        </w:rPr>
      </w:pPr>
      <w:r w:rsidRPr="009A7AA1">
        <w:rPr>
          <w:rFonts w:ascii="Tahoma" w:eastAsia="Times New Roman" w:hAnsi="Tahoma" w:cs="Tahoma"/>
          <w:bCs/>
          <w:color w:val="auto"/>
        </w:rPr>
        <w:t>El presupuesto Inicial de ingresos se dividió en: Ingresos Tributarios con</w:t>
      </w:r>
      <w:r>
        <w:rPr>
          <w:rFonts w:ascii="Tahoma" w:eastAsia="Times New Roman" w:hAnsi="Tahoma" w:cs="Tahoma"/>
          <w:bCs/>
          <w:color w:val="auto"/>
        </w:rPr>
        <w:t xml:space="preserve"> el </w:t>
      </w:r>
      <w:r w:rsidR="00582CF0">
        <w:rPr>
          <w:rFonts w:ascii="Tahoma" w:eastAsia="Times New Roman" w:hAnsi="Tahoma" w:cs="Tahoma"/>
          <w:bCs/>
          <w:color w:val="auto"/>
        </w:rPr>
        <w:t>13.29</w:t>
      </w:r>
      <w:r w:rsidRPr="009A7AA1">
        <w:rPr>
          <w:rFonts w:ascii="Tahoma" w:eastAsia="Times New Roman" w:hAnsi="Tahoma" w:cs="Tahoma"/>
          <w:bCs/>
          <w:color w:val="auto"/>
        </w:rPr>
        <w:t>%</w:t>
      </w:r>
      <w:r>
        <w:rPr>
          <w:rFonts w:ascii="Tahoma" w:eastAsia="Times New Roman" w:hAnsi="Tahoma" w:cs="Tahoma"/>
          <w:bCs/>
          <w:color w:val="auto"/>
        </w:rPr>
        <w:t>, equivalentes a</w:t>
      </w:r>
      <w:r w:rsidRPr="009A7AA1">
        <w:rPr>
          <w:rFonts w:ascii="Tahoma" w:eastAsia="Times New Roman" w:hAnsi="Tahoma" w:cs="Tahoma"/>
          <w:bCs/>
          <w:color w:val="auto"/>
        </w:rPr>
        <w:t xml:space="preserve"> </w:t>
      </w:r>
      <w:r>
        <w:rPr>
          <w:rFonts w:ascii="Tahoma" w:eastAsia="Times New Roman" w:hAnsi="Tahoma" w:cs="Tahoma"/>
          <w:bCs/>
          <w:color w:val="auto"/>
        </w:rPr>
        <w:t>$</w:t>
      </w:r>
      <w:r w:rsidR="00582CF0">
        <w:rPr>
          <w:rFonts w:ascii="Tahoma" w:eastAsia="Times New Roman" w:hAnsi="Tahoma" w:cs="Tahoma"/>
          <w:bCs/>
          <w:color w:val="auto"/>
        </w:rPr>
        <w:t>695</w:t>
      </w:r>
      <w:r w:rsidR="00820A3F">
        <w:rPr>
          <w:rFonts w:ascii="Tahoma" w:eastAsia="Times New Roman" w:hAnsi="Tahoma" w:cs="Tahoma"/>
          <w:bCs/>
          <w:color w:val="auto"/>
        </w:rPr>
        <w:t xml:space="preserve"> millones,</w:t>
      </w:r>
      <w:r>
        <w:rPr>
          <w:rFonts w:ascii="Tahoma" w:eastAsia="Times New Roman" w:hAnsi="Tahoma" w:cs="Tahoma"/>
          <w:color w:val="auto"/>
        </w:rPr>
        <w:t xml:space="preserve"> </w:t>
      </w:r>
      <w:r w:rsidRPr="009A7AA1">
        <w:rPr>
          <w:rFonts w:ascii="Tahoma" w:eastAsia="Times New Roman" w:hAnsi="Tahoma" w:cs="Tahoma"/>
          <w:bCs/>
          <w:color w:val="auto"/>
        </w:rPr>
        <w:t xml:space="preserve">Ingresos no Tributarios </w:t>
      </w:r>
      <w:r>
        <w:rPr>
          <w:rFonts w:ascii="Tahoma" w:eastAsia="Times New Roman" w:hAnsi="Tahoma" w:cs="Tahoma"/>
          <w:bCs/>
          <w:color w:val="auto"/>
        </w:rPr>
        <w:t xml:space="preserve">con </w:t>
      </w:r>
      <w:r w:rsidR="00820A3F">
        <w:rPr>
          <w:rFonts w:ascii="Tahoma" w:eastAsia="Times New Roman" w:hAnsi="Tahoma" w:cs="Tahoma"/>
          <w:bCs/>
          <w:color w:val="auto"/>
        </w:rPr>
        <w:t xml:space="preserve">el </w:t>
      </w:r>
      <w:r w:rsidR="00582CF0">
        <w:rPr>
          <w:rFonts w:ascii="Tahoma" w:eastAsia="Times New Roman" w:hAnsi="Tahoma" w:cs="Tahoma"/>
          <w:bCs/>
          <w:color w:val="auto"/>
        </w:rPr>
        <w:t>8</w:t>
      </w:r>
      <w:r w:rsidR="00820A3F">
        <w:rPr>
          <w:rFonts w:ascii="Tahoma" w:eastAsia="Times New Roman" w:hAnsi="Tahoma" w:cs="Tahoma"/>
          <w:bCs/>
          <w:color w:val="auto"/>
        </w:rPr>
        <w:t>3</w:t>
      </w:r>
      <w:r w:rsidR="00582CF0">
        <w:rPr>
          <w:rFonts w:ascii="Tahoma" w:eastAsia="Times New Roman" w:hAnsi="Tahoma" w:cs="Tahoma"/>
          <w:bCs/>
          <w:color w:val="auto"/>
        </w:rPr>
        <w:t>.57</w:t>
      </w:r>
      <w:r w:rsidR="00820A3F">
        <w:rPr>
          <w:rFonts w:ascii="Tahoma" w:eastAsia="Times New Roman" w:hAnsi="Tahoma" w:cs="Tahoma"/>
          <w:bCs/>
          <w:color w:val="auto"/>
        </w:rPr>
        <w:t>% equivalente</w:t>
      </w:r>
      <w:r>
        <w:rPr>
          <w:rFonts w:ascii="Tahoma" w:eastAsia="Times New Roman" w:hAnsi="Tahoma" w:cs="Tahoma"/>
          <w:bCs/>
          <w:color w:val="auto"/>
        </w:rPr>
        <w:t xml:space="preserve"> a </w:t>
      </w:r>
      <w:r w:rsidRPr="009A7AA1">
        <w:rPr>
          <w:rFonts w:ascii="Tahoma" w:eastAsia="Times New Roman" w:hAnsi="Tahoma" w:cs="Tahoma"/>
          <w:bCs/>
          <w:color w:val="auto"/>
        </w:rPr>
        <w:t>$</w:t>
      </w:r>
      <w:r w:rsidR="00582CF0">
        <w:rPr>
          <w:rFonts w:ascii="Tahoma" w:eastAsia="Times New Roman" w:hAnsi="Tahoma" w:cs="Tahoma"/>
          <w:bCs/>
          <w:color w:val="auto"/>
        </w:rPr>
        <w:t>4.374</w:t>
      </w:r>
      <w:r w:rsidR="005F4548">
        <w:rPr>
          <w:rFonts w:ascii="Tahoma" w:eastAsia="Times New Roman" w:hAnsi="Tahoma" w:cs="Tahoma"/>
          <w:color w:val="auto"/>
        </w:rPr>
        <w:t xml:space="preserve"> mill</w:t>
      </w:r>
      <w:r w:rsidR="00392FBA">
        <w:rPr>
          <w:rFonts w:ascii="Tahoma" w:eastAsia="Times New Roman" w:hAnsi="Tahoma" w:cs="Tahoma"/>
          <w:color w:val="auto"/>
        </w:rPr>
        <w:t>ones</w:t>
      </w:r>
      <w:r w:rsidR="00392FBA">
        <w:rPr>
          <w:rFonts w:ascii="Tahoma" w:eastAsia="Times New Roman" w:hAnsi="Tahoma" w:cs="Tahoma"/>
          <w:bCs/>
          <w:color w:val="auto"/>
        </w:rPr>
        <w:t xml:space="preserve"> y </w:t>
      </w:r>
      <w:r w:rsidR="00582CF0">
        <w:rPr>
          <w:rFonts w:ascii="Tahoma" w:eastAsia="Times New Roman" w:hAnsi="Tahoma" w:cs="Tahoma"/>
          <w:bCs/>
          <w:color w:val="auto"/>
        </w:rPr>
        <w:t>Recursos de Capital</w:t>
      </w:r>
      <w:r w:rsidRPr="009A7AA1">
        <w:rPr>
          <w:rFonts w:ascii="Tahoma" w:eastAsia="Times New Roman" w:hAnsi="Tahoma" w:cs="Tahoma"/>
          <w:bCs/>
          <w:color w:val="auto"/>
        </w:rPr>
        <w:t xml:space="preserve"> </w:t>
      </w:r>
      <w:r w:rsidR="00820A3F">
        <w:rPr>
          <w:rFonts w:ascii="Tahoma" w:eastAsia="Times New Roman" w:hAnsi="Tahoma" w:cs="Tahoma"/>
          <w:bCs/>
          <w:color w:val="auto"/>
        </w:rPr>
        <w:t xml:space="preserve">con un </w:t>
      </w:r>
      <w:r w:rsidR="00392FBA">
        <w:rPr>
          <w:rFonts w:ascii="Tahoma" w:eastAsia="Times New Roman" w:hAnsi="Tahoma" w:cs="Tahoma"/>
          <w:bCs/>
          <w:color w:val="auto"/>
        </w:rPr>
        <w:t>3</w:t>
      </w:r>
      <w:r w:rsidR="00582CF0">
        <w:rPr>
          <w:rFonts w:ascii="Tahoma" w:eastAsia="Times New Roman" w:hAnsi="Tahoma" w:cs="Tahoma"/>
          <w:bCs/>
          <w:color w:val="auto"/>
        </w:rPr>
        <w:t>.13</w:t>
      </w:r>
      <w:r>
        <w:rPr>
          <w:rFonts w:ascii="Tahoma" w:eastAsia="Times New Roman" w:hAnsi="Tahoma" w:cs="Tahoma"/>
          <w:bCs/>
          <w:color w:val="auto"/>
        </w:rPr>
        <w:t>%, equivalentes</w:t>
      </w:r>
      <w:r w:rsidR="00582CF0">
        <w:rPr>
          <w:rFonts w:ascii="Tahoma" w:eastAsia="Times New Roman" w:hAnsi="Tahoma" w:cs="Tahoma"/>
          <w:bCs/>
          <w:color w:val="auto"/>
        </w:rPr>
        <w:t xml:space="preserve"> a</w:t>
      </w:r>
      <w:r>
        <w:rPr>
          <w:rFonts w:ascii="Tahoma" w:eastAsia="Times New Roman" w:hAnsi="Tahoma" w:cs="Tahoma"/>
          <w:bCs/>
          <w:color w:val="auto"/>
        </w:rPr>
        <w:t xml:space="preserve"> </w:t>
      </w:r>
      <w:r w:rsidRPr="009A7AA1">
        <w:rPr>
          <w:rFonts w:ascii="Tahoma" w:eastAsia="Times New Roman" w:hAnsi="Tahoma" w:cs="Tahoma"/>
          <w:bCs/>
          <w:color w:val="auto"/>
        </w:rPr>
        <w:t>$</w:t>
      </w:r>
      <w:r w:rsidR="00582CF0">
        <w:rPr>
          <w:rFonts w:ascii="Tahoma" w:eastAsia="Times New Roman" w:hAnsi="Tahoma" w:cs="Tahoma"/>
          <w:bCs/>
          <w:color w:val="auto"/>
        </w:rPr>
        <w:t>164</w:t>
      </w:r>
      <w:r w:rsidR="006879BE">
        <w:rPr>
          <w:rFonts w:ascii="Tahoma" w:eastAsia="Times New Roman" w:hAnsi="Tahoma" w:cs="Tahoma"/>
          <w:bCs/>
          <w:color w:val="auto"/>
        </w:rPr>
        <w:t xml:space="preserve"> </w:t>
      </w:r>
      <w:r w:rsidR="00511C4D">
        <w:rPr>
          <w:rFonts w:ascii="Tahoma" w:eastAsia="Times New Roman" w:hAnsi="Tahoma" w:cs="Tahoma"/>
          <w:color w:val="auto"/>
        </w:rPr>
        <w:t>millones.</w:t>
      </w:r>
      <w:r>
        <w:rPr>
          <w:rFonts w:ascii="Tahoma" w:eastAsia="Times New Roman" w:hAnsi="Tahoma" w:cs="Tahoma"/>
          <w:color w:val="auto"/>
        </w:rPr>
        <w:t xml:space="preserve"> </w:t>
      </w:r>
    </w:p>
    <w:p w:rsidR="005F4548" w:rsidRPr="005F4548" w:rsidRDefault="005F4548" w:rsidP="005F4548">
      <w:pPr>
        <w:jc w:val="both"/>
        <w:rPr>
          <w:rFonts w:ascii="Tahoma" w:eastAsia="Times New Roman" w:hAnsi="Tahoma" w:cs="Tahoma"/>
          <w:color w:val="auto"/>
        </w:rPr>
      </w:pPr>
      <w:r>
        <w:rPr>
          <w:rFonts w:ascii="Tahoma" w:eastAsia="Times New Roman" w:hAnsi="Tahoma" w:cs="Tahoma"/>
          <w:noProof/>
          <w:color w:val="auto"/>
        </w:rPr>
        <w:lastRenderedPageBreak/>
        <w:drawing>
          <wp:inline distT="0" distB="0" distL="0" distR="0" wp14:anchorId="01045B61" wp14:editId="1F3257C8">
            <wp:extent cx="5486400" cy="3200400"/>
            <wp:effectExtent l="0" t="0" r="19050" b="19050"/>
            <wp:docPr id="28" name="Gráfico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F4548" w:rsidRDefault="005F4548" w:rsidP="005F4548">
      <w:pPr>
        <w:rPr>
          <w:rFonts w:ascii="Tahoma" w:eastAsia="Times New Roman" w:hAnsi="Tahoma" w:cs="Tahoma"/>
        </w:rPr>
      </w:pPr>
    </w:p>
    <w:p w:rsidR="0014349F" w:rsidRDefault="0014349F" w:rsidP="005F4548">
      <w:pPr>
        <w:tabs>
          <w:tab w:val="left" w:pos="2835"/>
        </w:tabs>
        <w:spacing w:before="0" w:after="0" w:line="19" w:lineRule="atLeast"/>
        <w:jc w:val="both"/>
        <w:rPr>
          <w:rFonts w:ascii="Tahoma" w:eastAsia="Times New Roman" w:hAnsi="Tahoma" w:cs="Tahoma"/>
          <w:b/>
          <w:bCs/>
          <w:color w:val="auto"/>
        </w:rPr>
      </w:pPr>
    </w:p>
    <w:p w:rsidR="005F4548" w:rsidRPr="00521391" w:rsidRDefault="005F4548" w:rsidP="005F4548">
      <w:pPr>
        <w:tabs>
          <w:tab w:val="left" w:pos="2835"/>
        </w:tabs>
        <w:spacing w:before="0" w:after="0" w:line="19" w:lineRule="atLeast"/>
        <w:jc w:val="both"/>
        <w:rPr>
          <w:rFonts w:ascii="Tahoma" w:eastAsia="Times New Roman" w:hAnsi="Tahoma" w:cs="Tahoma"/>
          <w:b/>
          <w:bCs/>
          <w:color w:val="auto"/>
        </w:rPr>
      </w:pPr>
      <w:r w:rsidRPr="00521391">
        <w:rPr>
          <w:rFonts w:ascii="Tahoma" w:eastAsia="Times New Roman" w:hAnsi="Tahoma" w:cs="Tahoma"/>
          <w:b/>
          <w:bCs/>
          <w:color w:val="auto"/>
        </w:rPr>
        <w:t>MODIFICACIONES AL PRESUPUESTO</w:t>
      </w:r>
      <w:r>
        <w:rPr>
          <w:rFonts w:ascii="Tahoma" w:eastAsia="Times New Roman" w:hAnsi="Tahoma" w:cs="Tahoma"/>
          <w:b/>
          <w:bCs/>
          <w:color w:val="auto"/>
        </w:rPr>
        <w:t xml:space="preserve"> DE INGRESOS (ADICIONES)</w:t>
      </w:r>
    </w:p>
    <w:p w:rsidR="005F4548" w:rsidRDefault="005F4548" w:rsidP="005F4548">
      <w:pPr>
        <w:tabs>
          <w:tab w:val="left" w:pos="2835"/>
        </w:tabs>
        <w:spacing w:before="0" w:after="0" w:line="19" w:lineRule="atLeast"/>
        <w:jc w:val="both"/>
        <w:rPr>
          <w:rFonts w:ascii="Tahoma" w:eastAsia="Times New Roman" w:hAnsi="Tahoma" w:cs="Tahoma"/>
          <w:bCs/>
          <w:color w:val="auto"/>
        </w:rPr>
      </w:pPr>
    </w:p>
    <w:p w:rsidR="0014349F" w:rsidRDefault="0014349F" w:rsidP="005F4548">
      <w:pPr>
        <w:tabs>
          <w:tab w:val="left" w:pos="2835"/>
        </w:tabs>
        <w:spacing w:before="0" w:after="0" w:line="19" w:lineRule="atLeast"/>
        <w:jc w:val="both"/>
        <w:rPr>
          <w:rFonts w:ascii="Tahoma" w:eastAsia="Times New Roman" w:hAnsi="Tahoma" w:cs="Tahoma"/>
          <w:bCs/>
          <w:color w:val="auto"/>
        </w:rPr>
      </w:pPr>
    </w:p>
    <w:p w:rsidR="005F4548" w:rsidRDefault="005F4548" w:rsidP="005F4548">
      <w:pPr>
        <w:tabs>
          <w:tab w:val="left" w:pos="2835"/>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t>El presupuesto de ingresos del</w:t>
      </w:r>
      <w:r w:rsidR="00522858">
        <w:rPr>
          <w:rFonts w:ascii="Tahoma" w:eastAsia="Times New Roman" w:hAnsi="Tahoma" w:cs="Tahoma"/>
          <w:bCs/>
          <w:color w:val="auto"/>
        </w:rPr>
        <w:t xml:space="preserve"> Municipio de</w:t>
      </w:r>
      <w:r>
        <w:rPr>
          <w:rFonts w:ascii="Tahoma" w:eastAsia="Times New Roman" w:hAnsi="Tahoma" w:cs="Tahoma"/>
          <w:bCs/>
          <w:color w:val="auto"/>
        </w:rPr>
        <w:t xml:space="preserve"> </w:t>
      </w:r>
      <w:r w:rsidR="00073B9C">
        <w:rPr>
          <w:rFonts w:ascii="Tahoma" w:eastAsia="Times New Roman" w:hAnsi="Tahoma" w:cs="Tahoma"/>
          <w:bCs/>
          <w:color w:val="auto"/>
        </w:rPr>
        <w:t xml:space="preserve">Ambalema </w:t>
      </w:r>
      <w:r w:rsidR="00C16960">
        <w:rPr>
          <w:rFonts w:ascii="Tahoma" w:eastAsia="Times New Roman" w:hAnsi="Tahoma" w:cs="Tahoma"/>
          <w:bCs/>
          <w:color w:val="auto"/>
        </w:rPr>
        <w:t xml:space="preserve">                                                                                                                                                             </w:t>
      </w:r>
      <w:r>
        <w:rPr>
          <w:rFonts w:ascii="Tahoma" w:eastAsia="Times New Roman" w:hAnsi="Tahoma" w:cs="Tahoma"/>
          <w:bCs/>
          <w:color w:val="auto"/>
        </w:rPr>
        <w:t xml:space="preserve">fue adicionado en un </w:t>
      </w:r>
      <w:r w:rsidR="000B79B3">
        <w:rPr>
          <w:rFonts w:ascii="Tahoma" w:eastAsia="Times New Roman" w:hAnsi="Tahoma" w:cs="Tahoma"/>
          <w:bCs/>
          <w:color w:val="auto"/>
        </w:rPr>
        <w:t>76.14</w:t>
      </w:r>
      <w:r>
        <w:rPr>
          <w:rFonts w:ascii="Tahoma" w:eastAsia="Times New Roman" w:hAnsi="Tahoma" w:cs="Tahoma"/>
          <w:bCs/>
          <w:color w:val="auto"/>
        </w:rPr>
        <w:t>%, equivalentes a $</w:t>
      </w:r>
      <w:r w:rsidR="000B79B3">
        <w:rPr>
          <w:rFonts w:ascii="Tahoma" w:eastAsia="Times New Roman" w:hAnsi="Tahoma" w:cs="Tahoma"/>
          <w:bCs/>
          <w:color w:val="auto"/>
        </w:rPr>
        <w:t>9.120</w:t>
      </w:r>
      <w:r>
        <w:rPr>
          <w:rFonts w:ascii="Tahoma" w:eastAsia="Times New Roman" w:hAnsi="Tahoma" w:cs="Tahoma"/>
          <w:bCs/>
          <w:color w:val="auto"/>
        </w:rPr>
        <w:t xml:space="preserve"> millones y las principales modificaciones se realizaron en los Ingresos Tributarios en la suma de $</w:t>
      </w:r>
      <w:r w:rsidR="000B79B3">
        <w:rPr>
          <w:rFonts w:ascii="Tahoma" w:eastAsia="Times New Roman" w:hAnsi="Tahoma" w:cs="Tahoma"/>
          <w:bCs/>
          <w:color w:val="auto"/>
        </w:rPr>
        <w:t>306</w:t>
      </w:r>
      <w:r>
        <w:rPr>
          <w:rFonts w:ascii="Tahoma" w:eastAsia="Times New Roman" w:hAnsi="Tahoma" w:cs="Tahoma"/>
          <w:bCs/>
          <w:color w:val="auto"/>
        </w:rPr>
        <w:t xml:space="preserve"> millones,  Ingresos No tributarios en la suma de $</w:t>
      </w:r>
      <w:r w:rsidR="000B79B3">
        <w:rPr>
          <w:rFonts w:ascii="Tahoma" w:eastAsia="Times New Roman" w:hAnsi="Tahoma" w:cs="Tahoma"/>
          <w:bCs/>
          <w:color w:val="auto"/>
        </w:rPr>
        <w:t>3.483</w:t>
      </w:r>
      <w:r>
        <w:rPr>
          <w:rFonts w:ascii="Tahoma" w:eastAsia="Times New Roman" w:hAnsi="Tahoma" w:cs="Tahoma"/>
          <w:bCs/>
          <w:color w:val="auto"/>
        </w:rPr>
        <w:t xml:space="preserve"> millones, Tra</w:t>
      </w:r>
      <w:r w:rsidR="000B79B3">
        <w:rPr>
          <w:rFonts w:ascii="Tahoma" w:eastAsia="Times New Roman" w:hAnsi="Tahoma" w:cs="Tahoma"/>
          <w:bCs/>
          <w:color w:val="auto"/>
        </w:rPr>
        <w:t>nsferencias en la suma de $2.443</w:t>
      </w:r>
      <w:r>
        <w:rPr>
          <w:rFonts w:ascii="Tahoma" w:eastAsia="Times New Roman" w:hAnsi="Tahoma" w:cs="Tahoma"/>
          <w:bCs/>
          <w:color w:val="auto"/>
        </w:rPr>
        <w:t xml:space="preserve"> millones, fondos especiales en la suma de $</w:t>
      </w:r>
      <w:r w:rsidR="000B79B3">
        <w:rPr>
          <w:rFonts w:ascii="Tahoma" w:eastAsia="Times New Roman" w:hAnsi="Tahoma" w:cs="Tahoma"/>
          <w:bCs/>
          <w:color w:val="auto"/>
        </w:rPr>
        <w:t>777</w:t>
      </w:r>
      <w:r>
        <w:rPr>
          <w:rFonts w:ascii="Tahoma" w:eastAsia="Times New Roman" w:hAnsi="Tahoma" w:cs="Tahoma"/>
          <w:bCs/>
          <w:color w:val="auto"/>
        </w:rPr>
        <w:t xml:space="preserve"> millones</w:t>
      </w:r>
      <w:r w:rsidR="000B79B3">
        <w:rPr>
          <w:rFonts w:ascii="Tahoma" w:eastAsia="Times New Roman" w:hAnsi="Tahoma" w:cs="Tahoma"/>
          <w:bCs/>
          <w:color w:val="auto"/>
        </w:rPr>
        <w:t xml:space="preserve">, </w:t>
      </w:r>
      <w:r>
        <w:rPr>
          <w:rFonts w:ascii="Tahoma" w:eastAsia="Times New Roman" w:hAnsi="Tahoma" w:cs="Tahoma"/>
          <w:bCs/>
          <w:color w:val="auto"/>
        </w:rPr>
        <w:t>Recursos de Capital en la suma de $</w:t>
      </w:r>
      <w:r w:rsidR="000B79B3">
        <w:rPr>
          <w:rFonts w:ascii="Tahoma" w:eastAsia="Times New Roman" w:hAnsi="Tahoma" w:cs="Tahoma"/>
          <w:bCs/>
          <w:color w:val="auto"/>
        </w:rPr>
        <w:t>5.330</w:t>
      </w:r>
      <w:r>
        <w:rPr>
          <w:rFonts w:ascii="Tahoma" w:eastAsia="Times New Roman" w:hAnsi="Tahoma" w:cs="Tahoma"/>
          <w:bCs/>
          <w:color w:val="auto"/>
        </w:rPr>
        <w:t xml:space="preserve"> millones. Ver tabla.</w:t>
      </w:r>
    </w:p>
    <w:p w:rsidR="005F4548" w:rsidRDefault="005F4548" w:rsidP="005F4548">
      <w:pPr>
        <w:rPr>
          <w:noProof/>
        </w:rPr>
      </w:pPr>
    </w:p>
    <w:p w:rsidR="00C945E3" w:rsidRDefault="00C945E3" w:rsidP="005F4548">
      <w:pPr>
        <w:rPr>
          <w:rFonts w:ascii="Tahoma" w:eastAsia="Times New Roman" w:hAnsi="Tahoma" w:cs="Tahoma"/>
        </w:rPr>
      </w:pPr>
      <w:r w:rsidRPr="00C945E3">
        <w:rPr>
          <w:noProof/>
        </w:rPr>
        <w:lastRenderedPageBreak/>
        <w:drawing>
          <wp:inline distT="0" distB="0" distL="0" distR="0" wp14:anchorId="0246EDAA" wp14:editId="761839F1">
            <wp:extent cx="5612130" cy="3977640"/>
            <wp:effectExtent l="0" t="0" r="7620"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612130" cy="3977640"/>
                    </a:xfrm>
                    <a:prstGeom prst="rect">
                      <a:avLst/>
                    </a:prstGeom>
                  </pic:spPr>
                </pic:pic>
              </a:graphicData>
            </a:graphic>
          </wp:inline>
        </w:drawing>
      </w:r>
    </w:p>
    <w:p w:rsidR="00B51E12" w:rsidRDefault="00B51E12" w:rsidP="001F11A4">
      <w:pPr>
        <w:tabs>
          <w:tab w:val="left" w:pos="2835"/>
        </w:tabs>
        <w:spacing w:before="0" w:after="0" w:line="19" w:lineRule="atLeast"/>
        <w:jc w:val="center"/>
        <w:rPr>
          <w:noProof/>
          <w:lang w:val="es-ES" w:eastAsia="es-ES"/>
        </w:rPr>
      </w:pPr>
    </w:p>
    <w:p w:rsidR="00B33ABA" w:rsidRDefault="00B33ABA" w:rsidP="00256F6A">
      <w:pPr>
        <w:tabs>
          <w:tab w:val="left" w:pos="5667"/>
        </w:tabs>
        <w:spacing w:before="0" w:after="0" w:line="19" w:lineRule="atLeast"/>
        <w:jc w:val="both"/>
        <w:rPr>
          <w:rFonts w:ascii="Tahoma" w:eastAsia="Times New Roman" w:hAnsi="Tahoma" w:cs="Tahoma"/>
          <w:b/>
          <w:bCs/>
          <w:color w:val="auto"/>
        </w:rPr>
      </w:pPr>
      <w:r w:rsidRPr="00B33ABA">
        <w:rPr>
          <w:rFonts w:ascii="Tahoma" w:eastAsia="Times New Roman" w:hAnsi="Tahoma" w:cs="Tahoma"/>
          <w:b/>
          <w:bCs/>
          <w:color w:val="auto"/>
        </w:rPr>
        <w:t>FUENTES DE FINANCIACION PRESUPUESTO</w:t>
      </w:r>
    </w:p>
    <w:p w:rsidR="00B33ABA" w:rsidRPr="00B33ABA" w:rsidRDefault="00B33ABA" w:rsidP="00256F6A">
      <w:pPr>
        <w:tabs>
          <w:tab w:val="left" w:pos="5667"/>
        </w:tabs>
        <w:spacing w:before="0" w:after="0" w:line="19" w:lineRule="atLeast"/>
        <w:jc w:val="both"/>
        <w:rPr>
          <w:rFonts w:ascii="Tahoma" w:eastAsia="Times New Roman" w:hAnsi="Tahoma" w:cs="Tahoma"/>
          <w:b/>
          <w:bCs/>
          <w:color w:val="auto"/>
        </w:rPr>
      </w:pPr>
    </w:p>
    <w:p w:rsidR="00E04672" w:rsidRDefault="004B1676" w:rsidP="00256F6A">
      <w:pPr>
        <w:tabs>
          <w:tab w:val="left" w:pos="5667"/>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t xml:space="preserve">Las principales fuentes </w:t>
      </w:r>
      <w:r w:rsidR="00745F39">
        <w:rPr>
          <w:rFonts w:ascii="Tahoma" w:eastAsia="Times New Roman" w:hAnsi="Tahoma" w:cs="Tahoma"/>
          <w:bCs/>
          <w:color w:val="auto"/>
        </w:rPr>
        <w:t xml:space="preserve">que </w:t>
      </w:r>
      <w:r>
        <w:rPr>
          <w:rFonts w:ascii="Tahoma" w:eastAsia="Times New Roman" w:hAnsi="Tahoma" w:cs="Tahoma"/>
          <w:bCs/>
          <w:color w:val="auto"/>
        </w:rPr>
        <w:t>financia</w:t>
      </w:r>
      <w:r w:rsidR="00745F39">
        <w:rPr>
          <w:rFonts w:ascii="Tahoma" w:eastAsia="Times New Roman" w:hAnsi="Tahoma" w:cs="Tahoma"/>
          <w:bCs/>
          <w:color w:val="auto"/>
        </w:rPr>
        <w:t xml:space="preserve">ron </w:t>
      </w:r>
      <w:r>
        <w:rPr>
          <w:rFonts w:ascii="Tahoma" w:eastAsia="Times New Roman" w:hAnsi="Tahoma" w:cs="Tahoma"/>
          <w:bCs/>
          <w:color w:val="auto"/>
        </w:rPr>
        <w:t>el presupuesto del Municipio</w:t>
      </w:r>
      <w:r w:rsidR="00D27BCA">
        <w:rPr>
          <w:rFonts w:ascii="Tahoma" w:eastAsia="Times New Roman" w:hAnsi="Tahoma" w:cs="Tahoma"/>
          <w:bCs/>
          <w:color w:val="auto"/>
        </w:rPr>
        <w:t xml:space="preserve"> de </w:t>
      </w:r>
      <w:r w:rsidR="00E62630">
        <w:rPr>
          <w:rFonts w:ascii="Tahoma" w:hAnsi="Tahoma" w:cs="Tahoma"/>
          <w:color w:val="auto"/>
        </w:rPr>
        <w:t>A</w:t>
      </w:r>
      <w:r w:rsidR="0014349F">
        <w:rPr>
          <w:rFonts w:ascii="Tahoma" w:hAnsi="Tahoma" w:cs="Tahoma"/>
          <w:color w:val="auto"/>
        </w:rPr>
        <w:t>mbalema</w:t>
      </w:r>
      <w:r w:rsidR="00E62630">
        <w:rPr>
          <w:rFonts w:ascii="Tahoma" w:hAnsi="Tahoma" w:cs="Tahoma"/>
          <w:color w:val="auto"/>
        </w:rPr>
        <w:t xml:space="preserve"> </w:t>
      </w:r>
      <w:r>
        <w:rPr>
          <w:rFonts w:ascii="Tahoma" w:eastAsia="Times New Roman" w:hAnsi="Tahoma" w:cs="Tahoma"/>
          <w:bCs/>
          <w:color w:val="auto"/>
        </w:rPr>
        <w:t>fueron</w:t>
      </w:r>
      <w:r w:rsidR="00B760AE">
        <w:rPr>
          <w:rFonts w:ascii="Tahoma" w:eastAsia="Times New Roman" w:hAnsi="Tahoma" w:cs="Tahoma"/>
          <w:bCs/>
          <w:color w:val="auto"/>
        </w:rPr>
        <w:t xml:space="preserve"> </w:t>
      </w:r>
      <w:r w:rsidR="00616C3A">
        <w:rPr>
          <w:rFonts w:ascii="Tahoma" w:eastAsia="Times New Roman" w:hAnsi="Tahoma" w:cs="Tahoma"/>
          <w:bCs/>
          <w:color w:val="auto"/>
        </w:rPr>
        <w:t>loa Ingresos no tributarios, entre los que se encuentran los recursos del</w:t>
      </w:r>
      <w:r w:rsidR="00B760AE">
        <w:rPr>
          <w:rFonts w:ascii="Tahoma" w:eastAsia="Times New Roman" w:hAnsi="Tahoma" w:cs="Tahoma"/>
          <w:bCs/>
          <w:color w:val="auto"/>
        </w:rPr>
        <w:t xml:space="preserve"> Sistema General</w:t>
      </w:r>
      <w:r w:rsidR="00E04672">
        <w:rPr>
          <w:rFonts w:ascii="Tahoma" w:eastAsia="Times New Roman" w:hAnsi="Tahoma" w:cs="Tahoma"/>
          <w:bCs/>
          <w:color w:val="auto"/>
        </w:rPr>
        <w:t xml:space="preserve"> </w:t>
      </w:r>
      <w:r w:rsidR="00B760AE">
        <w:rPr>
          <w:rFonts w:ascii="Tahoma" w:eastAsia="Times New Roman" w:hAnsi="Tahoma" w:cs="Tahoma"/>
          <w:bCs/>
          <w:color w:val="auto"/>
        </w:rPr>
        <w:t>de participaciones con $3.210 millones</w:t>
      </w:r>
      <w:r w:rsidR="00E04672">
        <w:rPr>
          <w:rFonts w:ascii="Tahoma" w:eastAsia="Times New Roman" w:hAnsi="Tahoma" w:cs="Tahoma"/>
          <w:bCs/>
          <w:color w:val="auto"/>
        </w:rPr>
        <w:t xml:space="preserve"> y</w:t>
      </w:r>
      <w:r w:rsidR="00B760AE">
        <w:rPr>
          <w:rFonts w:ascii="Tahoma" w:eastAsia="Times New Roman" w:hAnsi="Tahoma" w:cs="Tahoma"/>
          <w:bCs/>
          <w:color w:val="auto"/>
        </w:rPr>
        <w:t xml:space="preserve"> Recursos de Cofinanciación con $2.797 millones</w:t>
      </w:r>
      <w:r w:rsidR="00E04672">
        <w:rPr>
          <w:rFonts w:ascii="Tahoma" w:eastAsia="Times New Roman" w:hAnsi="Tahoma" w:cs="Tahoma"/>
          <w:bCs/>
          <w:color w:val="auto"/>
        </w:rPr>
        <w:t>.</w:t>
      </w:r>
    </w:p>
    <w:p w:rsidR="00176EEF" w:rsidRDefault="00B760AE" w:rsidP="00256F6A">
      <w:pPr>
        <w:tabs>
          <w:tab w:val="left" w:pos="5667"/>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lastRenderedPageBreak/>
        <w:t xml:space="preserve"> </w:t>
      </w:r>
      <w:r w:rsidR="0094723D">
        <w:rPr>
          <w:rFonts w:ascii="Tahoma" w:eastAsia="Times New Roman" w:hAnsi="Tahoma" w:cs="Tahoma"/>
          <w:bCs/>
          <w:color w:val="auto"/>
        </w:rPr>
        <w:t xml:space="preserve"> </w:t>
      </w:r>
      <w:r w:rsidR="00176EEF">
        <w:rPr>
          <w:rFonts w:ascii="Tahoma" w:eastAsia="Times New Roman" w:hAnsi="Tahoma" w:cs="Tahoma"/>
          <w:bCs/>
          <w:noProof/>
          <w:color w:val="auto"/>
        </w:rPr>
        <w:drawing>
          <wp:inline distT="0" distB="0" distL="0" distR="0" wp14:anchorId="4DB67526" wp14:editId="6BB92465">
            <wp:extent cx="5242560" cy="2316480"/>
            <wp:effectExtent l="0" t="0" r="15240" b="2667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07062" w:rsidRPr="002E4D5C" w:rsidRDefault="001D5CA9" w:rsidP="00256F6A">
      <w:pPr>
        <w:tabs>
          <w:tab w:val="left" w:pos="5667"/>
        </w:tabs>
        <w:spacing w:before="0" w:after="0" w:line="19" w:lineRule="atLeast"/>
        <w:jc w:val="both"/>
        <w:rPr>
          <w:rFonts w:ascii="Tahoma" w:eastAsia="Times New Roman" w:hAnsi="Tahoma" w:cs="Tahoma"/>
          <w:bCs/>
          <w:color w:val="auto"/>
          <w:sz w:val="20"/>
        </w:rPr>
      </w:pPr>
      <w:r w:rsidRPr="002E4D5C">
        <w:rPr>
          <w:rFonts w:ascii="Tahoma" w:eastAsia="Times New Roman" w:hAnsi="Tahoma" w:cs="Tahoma"/>
          <w:bCs/>
          <w:noProof/>
          <w:color w:val="auto"/>
          <w:sz w:val="20"/>
        </w:rPr>
        <w:drawing>
          <wp:inline distT="0" distB="0" distL="0" distR="0" wp14:anchorId="38B61E9E" wp14:editId="3DC16AD7">
            <wp:extent cx="5394960" cy="2545080"/>
            <wp:effectExtent l="0" t="0" r="15240" b="2667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B0A18" w:rsidRPr="002E4D5C" w:rsidRDefault="00256F6A" w:rsidP="00213F57">
      <w:pPr>
        <w:tabs>
          <w:tab w:val="left" w:pos="5667"/>
        </w:tabs>
        <w:spacing w:before="0" w:after="0" w:line="19" w:lineRule="atLeast"/>
        <w:jc w:val="both"/>
        <w:rPr>
          <w:rFonts w:ascii="Tahoma" w:hAnsi="Tahoma" w:cs="Tahoma"/>
          <w:b/>
          <w:noProof/>
          <w:color w:val="auto"/>
          <w:sz w:val="20"/>
        </w:rPr>
      </w:pPr>
      <w:r w:rsidRPr="002E4D5C">
        <w:rPr>
          <w:rFonts w:ascii="Tahoma" w:eastAsia="Times New Roman" w:hAnsi="Tahoma" w:cs="Tahoma"/>
          <w:bCs/>
          <w:color w:val="auto"/>
          <w:sz w:val="20"/>
        </w:rPr>
        <w:t xml:space="preserve"> </w:t>
      </w:r>
    </w:p>
    <w:p w:rsidR="00FB2024" w:rsidRDefault="005073CF" w:rsidP="009848DF">
      <w:pPr>
        <w:tabs>
          <w:tab w:val="left" w:pos="2835"/>
        </w:tabs>
        <w:spacing w:before="0" w:after="0" w:line="19" w:lineRule="atLeast"/>
        <w:jc w:val="both"/>
        <w:rPr>
          <w:rFonts w:ascii="Tahoma" w:hAnsi="Tahoma" w:cs="Tahoma"/>
          <w:b/>
          <w:noProof/>
          <w:color w:val="auto"/>
        </w:rPr>
      </w:pPr>
      <w:r w:rsidRPr="0054263E">
        <w:rPr>
          <w:rFonts w:ascii="Tahoma" w:hAnsi="Tahoma" w:cs="Tahoma"/>
          <w:b/>
          <w:noProof/>
          <w:color w:val="auto"/>
        </w:rPr>
        <w:t>COMPORTAMIENTO DEL RECAUDO:</w:t>
      </w:r>
    </w:p>
    <w:p w:rsidR="00691813" w:rsidRDefault="00691813" w:rsidP="008032B9">
      <w:pPr>
        <w:tabs>
          <w:tab w:val="left" w:pos="2835"/>
        </w:tabs>
        <w:spacing w:before="0" w:after="0" w:line="19" w:lineRule="atLeast"/>
        <w:jc w:val="both"/>
        <w:rPr>
          <w:rFonts w:ascii="Tahoma" w:hAnsi="Tahoma" w:cs="Tahoma"/>
          <w:noProof/>
          <w:color w:val="auto"/>
        </w:rPr>
      </w:pPr>
    </w:p>
    <w:p w:rsidR="008032B9" w:rsidRDefault="008032B9" w:rsidP="009848DF">
      <w:pPr>
        <w:tabs>
          <w:tab w:val="left" w:pos="2835"/>
        </w:tabs>
        <w:spacing w:before="0" w:after="0" w:line="19" w:lineRule="atLeast"/>
        <w:jc w:val="both"/>
        <w:rPr>
          <w:rFonts w:ascii="Tahoma" w:hAnsi="Tahoma" w:cs="Tahoma"/>
          <w:b/>
          <w:noProof/>
          <w:color w:val="auto"/>
        </w:rPr>
      </w:pPr>
      <w:r>
        <w:rPr>
          <w:rFonts w:ascii="Tahoma" w:hAnsi="Tahoma" w:cs="Tahoma"/>
          <w:noProof/>
          <w:color w:val="auto"/>
        </w:rPr>
        <w:t>E</w:t>
      </w:r>
      <w:r w:rsidRPr="00836C5C">
        <w:rPr>
          <w:rFonts w:ascii="Tahoma" w:hAnsi="Tahoma" w:cs="Tahoma"/>
          <w:noProof/>
          <w:color w:val="auto"/>
        </w:rPr>
        <w:t xml:space="preserve">l presupuesto de ingresos </w:t>
      </w:r>
      <w:r>
        <w:rPr>
          <w:rFonts w:ascii="Tahoma" w:hAnsi="Tahoma" w:cs="Tahoma"/>
          <w:noProof/>
          <w:color w:val="auto"/>
        </w:rPr>
        <w:t xml:space="preserve">definitivo </w:t>
      </w:r>
      <w:r w:rsidRPr="00836C5C">
        <w:rPr>
          <w:rFonts w:ascii="Tahoma" w:hAnsi="Tahoma" w:cs="Tahoma"/>
          <w:noProof/>
          <w:color w:val="auto"/>
        </w:rPr>
        <w:t xml:space="preserve">del Municipio de </w:t>
      </w:r>
      <w:r w:rsidR="007E5237">
        <w:rPr>
          <w:rFonts w:ascii="Tahoma" w:hAnsi="Tahoma" w:cs="Tahoma"/>
          <w:color w:val="auto"/>
        </w:rPr>
        <w:t>A</w:t>
      </w:r>
      <w:r w:rsidR="00FF681E">
        <w:rPr>
          <w:rFonts w:ascii="Tahoma" w:hAnsi="Tahoma" w:cs="Tahoma"/>
          <w:color w:val="auto"/>
        </w:rPr>
        <w:t>mbalema</w:t>
      </w:r>
      <w:r w:rsidRPr="00836C5C">
        <w:rPr>
          <w:rFonts w:ascii="Tahoma" w:hAnsi="Tahoma" w:cs="Tahoma"/>
          <w:noProof/>
          <w:color w:val="auto"/>
        </w:rPr>
        <w:t xml:space="preserve"> a Diciembre 31 de 2015</w:t>
      </w:r>
      <w:r>
        <w:rPr>
          <w:rFonts w:ascii="Tahoma" w:hAnsi="Tahoma" w:cs="Tahoma"/>
          <w:noProof/>
          <w:color w:val="auto"/>
        </w:rPr>
        <w:t xml:space="preserve"> fue de $</w:t>
      </w:r>
      <w:r w:rsidR="00FF681E">
        <w:rPr>
          <w:rFonts w:ascii="Tahoma" w:hAnsi="Tahoma" w:cs="Tahoma"/>
          <w:noProof/>
          <w:color w:val="auto"/>
        </w:rPr>
        <w:t>9.399</w:t>
      </w:r>
      <w:r w:rsidR="00941DC5">
        <w:rPr>
          <w:rFonts w:ascii="Tahoma" w:hAnsi="Tahoma" w:cs="Tahoma"/>
          <w:noProof/>
          <w:color w:val="auto"/>
        </w:rPr>
        <w:t>.</w:t>
      </w:r>
      <w:r w:rsidR="00FF681E">
        <w:rPr>
          <w:rFonts w:ascii="Tahoma" w:hAnsi="Tahoma" w:cs="Tahoma"/>
          <w:noProof/>
          <w:color w:val="auto"/>
        </w:rPr>
        <w:t>794.647</w:t>
      </w:r>
      <w:r w:rsidR="00F41E22">
        <w:rPr>
          <w:rFonts w:ascii="Tahoma" w:hAnsi="Tahoma" w:cs="Tahoma"/>
          <w:noProof/>
          <w:color w:val="auto"/>
        </w:rPr>
        <w:t>.oo</w:t>
      </w:r>
      <w:r>
        <w:rPr>
          <w:rFonts w:ascii="Tahoma" w:hAnsi="Tahoma" w:cs="Tahoma"/>
          <w:noProof/>
          <w:color w:val="auto"/>
        </w:rPr>
        <w:t xml:space="preserve">, de los cuales se recaudó la suma de </w:t>
      </w:r>
      <w:r w:rsidRPr="00767FB9">
        <w:rPr>
          <w:rFonts w:ascii="Tahoma" w:hAnsi="Tahoma" w:cs="Tahoma"/>
          <w:noProof/>
          <w:color w:val="auto"/>
        </w:rPr>
        <w:t>$</w:t>
      </w:r>
      <w:r w:rsidR="00FF681E">
        <w:rPr>
          <w:rFonts w:ascii="Tahoma" w:hAnsi="Tahoma" w:cs="Tahoma"/>
          <w:noProof/>
          <w:color w:val="auto"/>
        </w:rPr>
        <w:t>8.081.607.581.o</w:t>
      </w:r>
      <w:r w:rsidR="005E0382">
        <w:rPr>
          <w:rFonts w:ascii="Tahoma" w:hAnsi="Tahoma" w:cs="Tahoma"/>
          <w:noProof/>
          <w:color w:val="auto"/>
        </w:rPr>
        <w:t xml:space="preserve">o, es decir, el recaudo fue del </w:t>
      </w:r>
      <w:r w:rsidR="00941DC5">
        <w:rPr>
          <w:rFonts w:ascii="Tahoma" w:hAnsi="Tahoma" w:cs="Tahoma"/>
          <w:noProof/>
          <w:color w:val="auto"/>
        </w:rPr>
        <w:t>85.97%</w:t>
      </w:r>
      <w:r w:rsidR="005E0382">
        <w:rPr>
          <w:rFonts w:ascii="Tahoma" w:hAnsi="Tahoma" w:cs="Tahoma"/>
          <w:noProof/>
          <w:color w:val="auto"/>
        </w:rPr>
        <w:t>,</w:t>
      </w:r>
      <w:r w:rsidR="00EA7A00">
        <w:rPr>
          <w:rFonts w:ascii="Tahoma" w:hAnsi="Tahoma" w:cs="Tahoma"/>
          <w:noProof/>
          <w:color w:val="auto"/>
        </w:rPr>
        <w:t xml:space="preserve"> </w:t>
      </w:r>
      <w:r>
        <w:rPr>
          <w:rFonts w:ascii="Tahoma" w:hAnsi="Tahoma" w:cs="Tahoma"/>
        </w:rPr>
        <w:t>qued</w:t>
      </w:r>
      <w:r w:rsidR="00EA7A00">
        <w:rPr>
          <w:rFonts w:ascii="Tahoma" w:hAnsi="Tahoma" w:cs="Tahoma"/>
        </w:rPr>
        <w:t>ando</w:t>
      </w:r>
      <w:r>
        <w:rPr>
          <w:rFonts w:ascii="Tahoma" w:hAnsi="Tahoma" w:cs="Tahoma"/>
        </w:rPr>
        <w:t xml:space="preserve"> pendiente por recaudar la suma de $</w:t>
      </w:r>
      <w:r w:rsidR="00941DC5">
        <w:rPr>
          <w:rFonts w:ascii="Tahoma" w:hAnsi="Tahoma" w:cs="Tahoma"/>
        </w:rPr>
        <w:t>1.318</w:t>
      </w:r>
      <w:r w:rsidR="007B2470">
        <w:rPr>
          <w:rFonts w:ascii="Tahoma" w:hAnsi="Tahoma" w:cs="Tahoma"/>
        </w:rPr>
        <w:t xml:space="preserve"> millones</w:t>
      </w:r>
      <w:r>
        <w:rPr>
          <w:rFonts w:ascii="Tahoma" w:hAnsi="Tahoma" w:cs="Tahoma"/>
        </w:rPr>
        <w:t>, correspondie</w:t>
      </w:r>
      <w:r w:rsidR="001D3576">
        <w:rPr>
          <w:rFonts w:ascii="Tahoma" w:hAnsi="Tahoma" w:cs="Tahoma"/>
        </w:rPr>
        <w:t>ntes a</w:t>
      </w:r>
      <w:r w:rsidR="00EA7A00">
        <w:rPr>
          <w:rFonts w:ascii="Tahoma" w:hAnsi="Tahoma" w:cs="Tahoma"/>
        </w:rPr>
        <w:t>l Sistema General de Participaciones,</w:t>
      </w:r>
      <w:r w:rsidR="001D3576">
        <w:rPr>
          <w:rFonts w:ascii="Tahoma" w:hAnsi="Tahoma" w:cs="Tahoma"/>
        </w:rPr>
        <w:t xml:space="preserve"> Recurso</w:t>
      </w:r>
      <w:r w:rsidR="00EA7A00">
        <w:rPr>
          <w:rFonts w:ascii="Tahoma" w:hAnsi="Tahoma" w:cs="Tahoma"/>
        </w:rPr>
        <w:t>s</w:t>
      </w:r>
      <w:r w:rsidR="00941DC5">
        <w:rPr>
          <w:rFonts w:ascii="Tahoma" w:hAnsi="Tahoma" w:cs="Tahoma"/>
        </w:rPr>
        <w:t xml:space="preserve"> de Cofinanciación, e ingresos de Capital.</w:t>
      </w:r>
    </w:p>
    <w:p w:rsidR="00915224" w:rsidRDefault="00915224" w:rsidP="00691813">
      <w:pPr>
        <w:tabs>
          <w:tab w:val="left" w:pos="2835"/>
        </w:tabs>
        <w:spacing w:before="0" w:after="0" w:line="19" w:lineRule="atLeast"/>
        <w:rPr>
          <w:rFonts w:ascii="Tahoma" w:hAnsi="Tahoma" w:cs="Tahoma"/>
          <w:noProof/>
          <w:color w:val="auto"/>
        </w:rPr>
      </w:pPr>
    </w:p>
    <w:p w:rsidR="00691813" w:rsidRDefault="002E4D5C" w:rsidP="00691813">
      <w:pPr>
        <w:tabs>
          <w:tab w:val="left" w:pos="2835"/>
        </w:tabs>
        <w:spacing w:before="0" w:after="0" w:line="19" w:lineRule="atLeast"/>
        <w:jc w:val="center"/>
        <w:rPr>
          <w:rFonts w:ascii="Tahoma" w:hAnsi="Tahoma" w:cs="Tahoma"/>
          <w:noProof/>
          <w:color w:val="auto"/>
        </w:rPr>
      </w:pPr>
      <w:r>
        <w:rPr>
          <w:rFonts w:ascii="Tahoma" w:hAnsi="Tahoma" w:cs="Tahoma"/>
          <w:noProof/>
          <w:color w:val="auto"/>
        </w:rPr>
        <w:lastRenderedPageBreak/>
        <w:drawing>
          <wp:inline distT="0" distB="0" distL="0" distR="0" wp14:anchorId="402C92F9" wp14:editId="090F1E45">
            <wp:extent cx="5486400" cy="2910840"/>
            <wp:effectExtent l="0" t="0" r="19050" b="2286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073CF" w:rsidRDefault="001055EC" w:rsidP="00471A9A">
      <w:pPr>
        <w:tabs>
          <w:tab w:val="left" w:pos="3924"/>
        </w:tabs>
        <w:jc w:val="center"/>
        <w:rPr>
          <w:rFonts w:ascii="Tahoma" w:hAnsi="Tahoma" w:cs="Tahoma"/>
        </w:rPr>
      </w:pPr>
      <w:r>
        <w:rPr>
          <w:rFonts w:ascii="Tahoma" w:hAnsi="Tahoma" w:cs="Tahoma"/>
        </w:rPr>
        <w:t xml:space="preserve"> </w:t>
      </w:r>
    </w:p>
    <w:p w:rsidR="00D27BCA" w:rsidRPr="001D3576" w:rsidRDefault="00EE40F7" w:rsidP="001D3576">
      <w:pPr>
        <w:spacing w:before="0" w:after="0" w:line="19" w:lineRule="atLeast"/>
        <w:rPr>
          <w:rFonts w:ascii="Tahoma" w:hAnsi="Tahoma" w:cs="Tahoma"/>
          <w:b/>
        </w:rPr>
      </w:pPr>
      <w:r w:rsidRPr="001D3576">
        <w:rPr>
          <w:rFonts w:ascii="Tahoma" w:hAnsi="Tahoma" w:cs="Tahoma"/>
          <w:b/>
        </w:rPr>
        <w:t xml:space="preserve">2.2   </w:t>
      </w:r>
      <w:r w:rsidR="00D27BCA" w:rsidRPr="001D3576">
        <w:rPr>
          <w:rFonts w:ascii="Tahoma" w:hAnsi="Tahoma" w:cs="Tahoma"/>
          <w:b/>
        </w:rPr>
        <w:t>ANALISIS A LA EJECUCION  PRESUPUESTAL DE  GASTOS</w:t>
      </w:r>
    </w:p>
    <w:p w:rsidR="00481490" w:rsidRDefault="00481490" w:rsidP="001D6862">
      <w:pPr>
        <w:spacing w:before="0" w:after="0"/>
        <w:jc w:val="both"/>
        <w:rPr>
          <w:rFonts w:ascii="Tahoma" w:hAnsi="Tahoma" w:cs="Tahoma"/>
          <w:bCs/>
          <w:color w:val="auto"/>
        </w:rPr>
      </w:pPr>
    </w:p>
    <w:p w:rsidR="00523B2E" w:rsidRDefault="00682367" w:rsidP="00523B2E">
      <w:pPr>
        <w:jc w:val="both"/>
        <w:rPr>
          <w:rFonts w:ascii="Tahoma" w:eastAsia="Times New Roman" w:hAnsi="Tahoma" w:cs="Tahoma"/>
          <w:b/>
          <w:bCs/>
          <w:color w:val="auto"/>
        </w:rPr>
      </w:pPr>
      <w:r w:rsidRPr="005540CE">
        <w:rPr>
          <w:rFonts w:ascii="Tahoma" w:hAnsi="Tahoma" w:cs="Tahoma"/>
        </w:rPr>
        <w:t xml:space="preserve">El presupuesto </w:t>
      </w:r>
      <w:r>
        <w:rPr>
          <w:rFonts w:ascii="Tahoma" w:hAnsi="Tahoma" w:cs="Tahoma"/>
        </w:rPr>
        <w:t xml:space="preserve">de </w:t>
      </w:r>
      <w:r w:rsidR="00950A8A">
        <w:rPr>
          <w:rFonts w:ascii="Tahoma" w:hAnsi="Tahoma" w:cs="Tahoma"/>
        </w:rPr>
        <w:t>Gastos</w:t>
      </w:r>
      <w:r>
        <w:rPr>
          <w:rFonts w:ascii="Tahoma" w:hAnsi="Tahoma" w:cs="Tahoma"/>
        </w:rPr>
        <w:t xml:space="preserve"> del Municipio de </w:t>
      </w:r>
      <w:r w:rsidR="007F5A79">
        <w:rPr>
          <w:rFonts w:ascii="Tahoma" w:hAnsi="Tahoma" w:cs="Tahoma"/>
          <w:color w:val="auto"/>
        </w:rPr>
        <w:t>A</w:t>
      </w:r>
      <w:r w:rsidR="003509BF">
        <w:rPr>
          <w:rFonts w:ascii="Tahoma" w:hAnsi="Tahoma" w:cs="Tahoma"/>
          <w:color w:val="auto"/>
        </w:rPr>
        <w:t>mbalema</w:t>
      </w:r>
      <w:r w:rsidR="007F5A79">
        <w:rPr>
          <w:rFonts w:ascii="Tahoma" w:hAnsi="Tahoma" w:cs="Tahoma"/>
          <w:color w:val="auto"/>
        </w:rPr>
        <w:t xml:space="preserve"> </w:t>
      </w:r>
      <w:r>
        <w:rPr>
          <w:rFonts w:ascii="Tahoma" w:hAnsi="Tahoma" w:cs="Tahoma"/>
        </w:rPr>
        <w:t xml:space="preserve">para la vigencia fiscal 2015 fue aprobado en la cuantía </w:t>
      </w:r>
      <w:r w:rsidRPr="00E85A59">
        <w:rPr>
          <w:rFonts w:ascii="Tahoma" w:hAnsi="Tahoma" w:cs="Tahoma"/>
        </w:rPr>
        <w:t xml:space="preserve">de </w:t>
      </w:r>
      <w:r w:rsidRPr="00E85A59">
        <w:rPr>
          <w:rFonts w:ascii="Tahoma" w:hAnsi="Tahoma" w:cs="Tahoma"/>
          <w:b/>
          <w:color w:val="auto"/>
        </w:rPr>
        <w:t>$</w:t>
      </w:r>
      <w:r w:rsidR="003509BF">
        <w:rPr>
          <w:rFonts w:ascii="Tahoma" w:hAnsi="Tahoma" w:cs="Tahoma"/>
          <w:b/>
          <w:color w:val="auto"/>
        </w:rPr>
        <w:t>5.234.010.313.oo</w:t>
      </w:r>
      <w:r w:rsidRPr="00E85A59">
        <w:rPr>
          <w:rFonts w:ascii="Tahoma" w:hAnsi="Tahoma" w:cs="Tahoma"/>
          <w:b/>
          <w:color w:val="auto"/>
        </w:rPr>
        <w:t>,</w:t>
      </w:r>
      <w:r w:rsidR="00950A8A" w:rsidRPr="00E85A59">
        <w:rPr>
          <w:rFonts w:ascii="Tahoma" w:hAnsi="Tahoma" w:cs="Tahoma"/>
          <w:b/>
          <w:color w:val="auto"/>
        </w:rPr>
        <w:t xml:space="preserve"> </w:t>
      </w:r>
      <w:r w:rsidR="00950A8A" w:rsidRPr="00E85A59">
        <w:rPr>
          <w:rFonts w:ascii="Tahoma" w:hAnsi="Tahoma" w:cs="Tahoma"/>
          <w:color w:val="auto"/>
        </w:rPr>
        <w:t>presentó</w:t>
      </w:r>
      <w:r>
        <w:rPr>
          <w:rFonts w:ascii="Tahoma" w:hAnsi="Tahoma" w:cs="Tahoma"/>
          <w:b/>
          <w:color w:val="auto"/>
        </w:rPr>
        <w:t xml:space="preserve"> </w:t>
      </w:r>
      <w:r w:rsidR="00523B2E" w:rsidRPr="00DA6502">
        <w:rPr>
          <w:rFonts w:ascii="Tahoma" w:hAnsi="Tahoma" w:cs="Tahoma"/>
          <w:color w:val="auto"/>
        </w:rPr>
        <w:t>adiciones</w:t>
      </w:r>
      <w:r w:rsidR="00523B2E">
        <w:rPr>
          <w:rFonts w:ascii="Tahoma" w:hAnsi="Tahoma" w:cs="Tahoma"/>
          <w:color w:val="auto"/>
        </w:rPr>
        <w:t xml:space="preserve"> presupuestales por</w:t>
      </w:r>
      <w:r w:rsidR="00523B2E" w:rsidRPr="00DA6502">
        <w:rPr>
          <w:rFonts w:ascii="Tahoma" w:hAnsi="Tahoma" w:cs="Tahoma"/>
          <w:color w:val="auto"/>
        </w:rPr>
        <w:t xml:space="preserve"> </w:t>
      </w:r>
      <w:r w:rsidR="00523B2E" w:rsidRPr="00231ECA">
        <w:rPr>
          <w:rFonts w:ascii="Tahoma" w:hAnsi="Tahoma" w:cs="Tahoma"/>
          <w:b/>
          <w:color w:val="auto"/>
        </w:rPr>
        <w:t>$</w:t>
      </w:r>
      <w:r w:rsidR="00523B2E">
        <w:rPr>
          <w:rFonts w:ascii="Tahoma" w:hAnsi="Tahoma" w:cs="Tahoma"/>
          <w:b/>
          <w:color w:val="auto"/>
        </w:rPr>
        <w:t>4.205.494.211o</w:t>
      </w:r>
      <w:r w:rsidR="00523B2E" w:rsidRPr="00231ECA">
        <w:rPr>
          <w:rFonts w:ascii="Tahoma" w:hAnsi="Tahoma" w:cs="Tahoma"/>
          <w:b/>
          <w:color w:val="auto"/>
        </w:rPr>
        <w:t>o</w:t>
      </w:r>
      <w:r w:rsidR="00523B2E" w:rsidRPr="00CA669B">
        <w:rPr>
          <w:rFonts w:ascii="Tahoma" w:hAnsi="Tahoma" w:cs="Tahoma"/>
          <w:b/>
          <w:color w:val="auto"/>
        </w:rPr>
        <w:t>,</w:t>
      </w:r>
      <w:r w:rsidR="00523B2E">
        <w:rPr>
          <w:rFonts w:ascii="Tahoma" w:hAnsi="Tahoma" w:cs="Tahoma"/>
          <w:b/>
          <w:color w:val="auto"/>
        </w:rPr>
        <w:t xml:space="preserve"> </w:t>
      </w:r>
      <w:r w:rsidR="00523B2E">
        <w:rPr>
          <w:rFonts w:ascii="Tahoma" w:eastAsia="Times New Roman" w:hAnsi="Tahoma" w:cs="Tahoma"/>
          <w:bCs/>
          <w:color w:val="auto"/>
        </w:rPr>
        <w:t xml:space="preserve">y reducciones por </w:t>
      </w:r>
      <w:r w:rsidR="00523B2E" w:rsidRPr="00B26183">
        <w:rPr>
          <w:rFonts w:ascii="Tahoma" w:eastAsia="Times New Roman" w:hAnsi="Tahoma" w:cs="Tahoma"/>
          <w:b/>
          <w:bCs/>
          <w:color w:val="auto"/>
        </w:rPr>
        <w:t>$</w:t>
      </w:r>
      <w:r w:rsidR="00523B2E">
        <w:rPr>
          <w:rFonts w:ascii="Tahoma" w:eastAsia="Times New Roman" w:hAnsi="Tahoma" w:cs="Tahoma"/>
          <w:b/>
          <w:bCs/>
          <w:color w:val="auto"/>
        </w:rPr>
        <w:t>39.709.877</w:t>
      </w:r>
      <w:r w:rsidR="00523B2E" w:rsidRPr="00B26183">
        <w:rPr>
          <w:rFonts w:ascii="Tahoma" w:eastAsia="Times New Roman" w:hAnsi="Tahoma" w:cs="Tahoma"/>
          <w:b/>
          <w:bCs/>
          <w:color w:val="auto"/>
        </w:rPr>
        <w:t>.oo</w:t>
      </w:r>
      <w:r w:rsidR="00523B2E">
        <w:rPr>
          <w:rFonts w:ascii="Tahoma" w:eastAsia="Times New Roman" w:hAnsi="Tahoma" w:cs="Tahoma"/>
          <w:bCs/>
          <w:color w:val="auto"/>
        </w:rPr>
        <w:t xml:space="preserve">, para un presupuesto definitivo a Diciembre 31 de 2015 de </w:t>
      </w:r>
      <w:r w:rsidR="00523B2E" w:rsidRPr="00B26183">
        <w:rPr>
          <w:rFonts w:ascii="Tahoma" w:eastAsia="Times New Roman" w:hAnsi="Tahoma" w:cs="Tahoma"/>
          <w:b/>
          <w:bCs/>
          <w:color w:val="auto"/>
        </w:rPr>
        <w:t>$</w:t>
      </w:r>
      <w:r w:rsidR="00523B2E">
        <w:rPr>
          <w:rFonts w:ascii="Tahoma" w:eastAsia="Times New Roman" w:hAnsi="Tahoma" w:cs="Tahoma"/>
          <w:b/>
          <w:bCs/>
          <w:color w:val="auto"/>
        </w:rPr>
        <w:t>9.399.794.647.oo.</w:t>
      </w:r>
    </w:p>
    <w:p w:rsidR="00523B2E" w:rsidRDefault="00523B2E" w:rsidP="00523B2E">
      <w:pPr>
        <w:tabs>
          <w:tab w:val="left" w:pos="2835"/>
        </w:tabs>
        <w:spacing w:before="0" w:after="0" w:line="19" w:lineRule="atLeast"/>
        <w:jc w:val="both"/>
        <w:rPr>
          <w:rFonts w:ascii="Tahoma" w:eastAsia="Times New Roman" w:hAnsi="Tahoma" w:cs="Tahoma"/>
          <w:b/>
          <w:bCs/>
          <w:color w:val="auto"/>
        </w:rPr>
      </w:pPr>
    </w:p>
    <w:p w:rsidR="00523B2E" w:rsidRDefault="00523B2E" w:rsidP="00523B2E">
      <w:pPr>
        <w:tabs>
          <w:tab w:val="left" w:pos="2835"/>
        </w:tabs>
        <w:spacing w:before="0" w:after="0" w:line="19" w:lineRule="atLeast"/>
        <w:jc w:val="both"/>
        <w:rPr>
          <w:rFonts w:ascii="Tahoma" w:eastAsia="Times New Roman" w:hAnsi="Tahoma" w:cs="Tahoma"/>
          <w:b/>
          <w:bCs/>
          <w:color w:val="auto"/>
        </w:rPr>
      </w:pPr>
    </w:p>
    <w:tbl>
      <w:tblPr>
        <w:tblStyle w:val="Tablaconcuadrcula"/>
        <w:tblW w:w="9057" w:type="dxa"/>
        <w:tblLayout w:type="fixed"/>
        <w:tblLook w:val="04A0" w:firstRow="1" w:lastRow="0" w:firstColumn="1" w:lastColumn="0" w:noHBand="0" w:noVBand="1"/>
      </w:tblPr>
      <w:tblGrid>
        <w:gridCol w:w="2376"/>
        <w:gridCol w:w="2268"/>
        <w:gridCol w:w="1843"/>
        <w:gridCol w:w="2570"/>
      </w:tblGrid>
      <w:tr w:rsidR="00523B2E" w:rsidRPr="00BA1DE4" w:rsidTr="00F117A9">
        <w:trPr>
          <w:trHeight w:val="327"/>
        </w:trPr>
        <w:tc>
          <w:tcPr>
            <w:tcW w:w="2376" w:type="dxa"/>
          </w:tcPr>
          <w:p w:rsidR="00523B2E" w:rsidRPr="00B26183" w:rsidRDefault="00523B2E" w:rsidP="00F117A9">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INICIAL</w:t>
            </w:r>
          </w:p>
        </w:tc>
        <w:tc>
          <w:tcPr>
            <w:tcW w:w="2268" w:type="dxa"/>
          </w:tcPr>
          <w:p w:rsidR="00523B2E" w:rsidRPr="00B26183" w:rsidRDefault="00523B2E" w:rsidP="00F117A9">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ADICIONES</w:t>
            </w:r>
          </w:p>
        </w:tc>
        <w:tc>
          <w:tcPr>
            <w:tcW w:w="1843" w:type="dxa"/>
          </w:tcPr>
          <w:p w:rsidR="00523B2E" w:rsidRPr="00B26183" w:rsidRDefault="00523B2E" w:rsidP="00F117A9">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REDUCCIONES</w:t>
            </w:r>
          </w:p>
        </w:tc>
        <w:tc>
          <w:tcPr>
            <w:tcW w:w="2570" w:type="dxa"/>
          </w:tcPr>
          <w:p w:rsidR="00523B2E" w:rsidRPr="00B26183" w:rsidRDefault="00523B2E" w:rsidP="00F117A9">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DEFINITIVO</w:t>
            </w:r>
          </w:p>
        </w:tc>
      </w:tr>
      <w:tr w:rsidR="00523B2E" w:rsidRPr="00BA1DE4" w:rsidTr="00F117A9">
        <w:trPr>
          <w:trHeight w:val="551"/>
        </w:trPr>
        <w:tc>
          <w:tcPr>
            <w:tcW w:w="2376" w:type="dxa"/>
          </w:tcPr>
          <w:p w:rsidR="00523B2E" w:rsidRPr="00B26183" w:rsidRDefault="00523B2E" w:rsidP="00F117A9">
            <w:pPr>
              <w:tabs>
                <w:tab w:val="left" w:pos="2835"/>
              </w:tabs>
              <w:spacing w:before="0" w:line="19" w:lineRule="atLeast"/>
              <w:jc w:val="center"/>
              <w:rPr>
                <w:rFonts w:ascii="Tahoma" w:eastAsia="Times New Roman" w:hAnsi="Tahoma" w:cs="Tahoma"/>
                <w:bCs/>
                <w:color w:val="auto"/>
                <w:sz w:val="20"/>
                <w:szCs w:val="20"/>
                <w:vertAlign w:val="subscript"/>
              </w:rPr>
            </w:pPr>
            <w:r w:rsidRPr="00B26183">
              <w:rPr>
                <w:rFonts w:ascii="Tahoma" w:hAnsi="Tahoma" w:cs="Tahoma"/>
                <w:color w:val="auto"/>
                <w:sz w:val="20"/>
                <w:szCs w:val="20"/>
              </w:rPr>
              <w:t>$</w:t>
            </w:r>
            <w:r>
              <w:rPr>
                <w:rFonts w:ascii="Tahoma" w:hAnsi="Tahoma" w:cs="Tahoma"/>
                <w:color w:val="auto"/>
                <w:sz w:val="20"/>
                <w:szCs w:val="20"/>
              </w:rPr>
              <w:t>5.234.010.313</w:t>
            </w:r>
            <w:r w:rsidRPr="00B26183">
              <w:rPr>
                <w:rFonts w:ascii="Tahoma" w:hAnsi="Tahoma" w:cs="Tahoma"/>
                <w:color w:val="auto"/>
                <w:sz w:val="20"/>
                <w:szCs w:val="20"/>
              </w:rPr>
              <w:t>.oo</w:t>
            </w:r>
          </w:p>
        </w:tc>
        <w:tc>
          <w:tcPr>
            <w:tcW w:w="2268" w:type="dxa"/>
          </w:tcPr>
          <w:p w:rsidR="00523B2E" w:rsidRPr="00B26183" w:rsidRDefault="00523B2E" w:rsidP="00F117A9">
            <w:pPr>
              <w:tabs>
                <w:tab w:val="left" w:pos="2835"/>
              </w:tabs>
              <w:spacing w:before="0" w:line="19" w:lineRule="atLeast"/>
              <w:jc w:val="center"/>
              <w:rPr>
                <w:rFonts w:ascii="Tahoma" w:eastAsia="Times New Roman" w:hAnsi="Tahoma" w:cs="Tahoma"/>
                <w:bCs/>
                <w:color w:val="auto"/>
                <w:sz w:val="20"/>
                <w:szCs w:val="20"/>
                <w:vertAlign w:val="subscript"/>
              </w:rPr>
            </w:pPr>
            <w:r w:rsidRPr="00B26183">
              <w:rPr>
                <w:rFonts w:ascii="Tahoma" w:hAnsi="Tahoma" w:cs="Tahoma"/>
                <w:color w:val="auto"/>
                <w:sz w:val="20"/>
                <w:szCs w:val="20"/>
              </w:rPr>
              <w:t>$</w:t>
            </w:r>
            <w:r>
              <w:rPr>
                <w:rFonts w:ascii="Tahoma" w:hAnsi="Tahoma" w:cs="Tahoma"/>
                <w:color w:val="auto"/>
                <w:sz w:val="20"/>
                <w:szCs w:val="20"/>
              </w:rPr>
              <w:t>4.205.494.211.</w:t>
            </w:r>
            <w:r w:rsidRPr="00B26183">
              <w:rPr>
                <w:rFonts w:ascii="Tahoma" w:eastAsia="Times New Roman" w:hAnsi="Tahoma" w:cs="Tahoma"/>
                <w:bCs/>
                <w:color w:val="auto"/>
                <w:sz w:val="20"/>
                <w:szCs w:val="20"/>
              </w:rPr>
              <w:t>oo</w:t>
            </w:r>
          </w:p>
        </w:tc>
        <w:tc>
          <w:tcPr>
            <w:tcW w:w="1843" w:type="dxa"/>
          </w:tcPr>
          <w:p w:rsidR="00523B2E" w:rsidRPr="00B26183" w:rsidRDefault="00523B2E" w:rsidP="00F117A9">
            <w:pPr>
              <w:tabs>
                <w:tab w:val="left" w:pos="2835"/>
              </w:tabs>
              <w:spacing w:before="0" w:line="19" w:lineRule="atLeast"/>
              <w:jc w:val="center"/>
              <w:rPr>
                <w:rFonts w:ascii="Tahoma" w:eastAsia="Times New Roman" w:hAnsi="Tahoma" w:cs="Tahoma"/>
                <w:bCs/>
                <w:color w:val="auto"/>
                <w:sz w:val="20"/>
                <w:szCs w:val="20"/>
                <w:vertAlign w:val="subscript"/>
              </w:rPr>
            </w:pPr>
            <w:r>
              <w:rPr>
                <w:rFonts w:ascii="Tahoma" w:eastAsia="Times New Roman" w:hAnsi="Tahoma" w:cs="Tahoma"/>
                <w:bCs/>
                <w:color w:val="auto"/>
                <w:sz w:val="20"/>
                <w:szCs w:val="20"/>
              </w:rPr>
              <w:t>$39.709.877</w:t>
            </w:r>
            <w:r w:rsidRPr="00B26183">
              <w:rPr>
                <w:rFonts w:ascii="Tahoma" w:eastAsia="Times New Roman" w:hAnsi="Tahoma" w:cs="Tahoma"/>
                <w:bCs/>
                <w:color w:val="auto"/>
                <w:sz w:val="20"/>
                <w:szCs w:val="20"/>
              </w:rPr>
              <w:t>.oo</w:t>
            </w:r>
          </w:p>
        </w:tc>
        <w:tc>
          <w:tcPr>
            <w:tcW w:w="2570" w:type="dxa"/>
          </w:tcPr>
          <w:p w:rsidR="00523B2E" w:rsidRPr="00B26183" w:rsidRDefault="00523B2E" w:rsidP="00F117A9">
            <w:pPr>
              <w:tabs>
                <w:tab w:val="left" w:pos="2835"/>
              </w:tabs>
              <w:spacing w:before="0" w:line="19" w:lineRule="atLeast"/>
              <w:jc w:val="center"/>
              <w:rPr>
                <w:rFonts w:ascii="Tahoma" w:eastAsia="Times New Roman" w:hAnsi="Tahoma" w:cs="Tahoma"/>
                <w:bCs/>
                <w:color w:val="auto"/>
                <w:sz w:val="20"/>
                <w:szCs w:val="20"/>
                <w:vertAlign w:val="subscript"/>
              </w:rPr>
            </w:pPr>
            <w:r w:rsidRPr="00B26183">
              <w:rPr>
                <w:rFonts w:ascii="Tahoma" w:eastAsia="Times New Roman" w:hAnsi="Tahoma" w:cs="Tahoma"/>
                <w:bCs/>
                <w:color w:val="auto"/>
                <w:sz w:val="20"/>
                <w:szCs w:val="20"/>
              </w:rPr>
              <w:t>$</w:t>
            </w:r>
            <w:r>
              <w:rPr>
                <w:rFonts w:ascii="Tahoma" w:eastAsia="Times New Roman" w:hAnsi="Tahoma" w:cs="Tahoma"/>
                <w:bCs/>
                <w:color w:val="auto"/>
                <w:sz w:val="20"/>
                <w:szCs w:val="20"/>
              </w:rPr>
              <w:t>9.399.794.647</w:t>
            </w:r>
            <w:r w:rsidRPr="00B26183">
              <w:rPr>
                <w:rFonts w:ascii="Tahoma" w:eastAsia="Times New Roman" w:hAnsi="Tahoma" w:cs="Tahoma"/>
                <w:bCs/>
                <w:color w:val="auto"/>
                <w:sz w:val="20"/>
                <w:szCs w:val="20"/>
              </w:rPr>
              <w:t>.oo</w:t>
            </w:r>
          </w:p>
        </w:tc>
      </w:tr>
    </w:tbl>
    <w:p w:rsidR="00523B2E" w:rsidRPr="00256F6A" w:rsidRDefault="00523B2E" w:rsidP="00523B2E">
      <w:pPr>
        <w:tabs>
          <w:tab w:val="left" w:pos="2835"/>
        </w:tabs>
        <w:spacing w:before="0" w:after="0" w:line="19" w:lineRule="atLeast"/>
        <w:jc w:val="both"/>
        <w:rPr>
          <w:rFonts w:ascii="Tahoma" w:eastAsia="Times New Roman" w:hAnsi="Tahoma" w:cs="Tahoma"/>
          <w:bCs/>
          <w:color w:val="auto"/>
          <w:vertAlign w:val="subscript"/>
        </w:rPr>
      </w:pPr>
      <w:r w:rsidRPr="00256F6A">
        <w:rPr>
          <w:rFonts w:ascii="Tahoma" w:eastAsia="Times New Roman" w:hAnsi="Tahoma" w:cs="Tahoma"/>
          <w:bCs/>
          <w:color w:val="auto"/>
          <w:vertAlign w:val="subscript"/>
        </w:rPr>
        <w:t>Información tomada de la ejecución presupuestal del Municipio</w:t>
      </w:r>
      <w:r>
        <w:rPr>
          <w:rFonts w:ascii="Tahoma" w:eastAsia="Times New Roman" w:hAnsi="Tahoma" w:cs="Tahoma"/>
          <w:bCs/>
          <w:color w:val="auto"/>
          <w:vertAlign w:val="subscript"/>
        </w:rPr>
        <w:t xml:space="preserve"> vigencia 2015</w:t>
      </w:r>
    </w:p>
    <w:p w:rsidR="00523B2E" w:rsidRDefault="00523B2E" w:rsidP="00523B2E">
      <w:pPr>
        <w:tabs>
          <w:tab w:val="left" w:pos="4760"/>
          <w:tab w:val="left" w:pos="6013"/>
          <w:tab w:val="left" w:pos="6693"/>
        </w:tabs>
        <w:spacing w:before="0" w:after="0" w:line="19" w:lineRule="atLeast"/>
        <w:jc w:val="both"/>
        <w:rPr>
          <w:rFonts w:ascii="Tahoma" w:eastAsia="Times New Roman" w:hAnsi="Tahoma" w:cs="Tahoma"/>
          <w:bCs/>
          <w:color w:val="auto"/>
        </w:rPr>
      </w:pPr>
    </w:p>
    <w:p w:rsidR="00C32B9A" w:rsidRDefault="00C32B9A" w:rsidP="00C32B9A">
      <w:pPr>
        <w:spacing w:before="0" w:after="0"/>
        <w:rPr>
          <w:rFonts w:ascii="Tahoma" w:hAnsi="Tahoma" w:cs="Tahoma"/>
          <w:b/>
          <w:bCs/>
        </w:rPr>
      </w:pPr>
      <w:r w:rsidRPr="005A1AE4">
        <w:rPr>
          <w:rFonts w:ascii="Tahoma" w:hAnsi="Tahoma" w:cs="Tahoma"/>
          <w:b/>
          <w:bCs/>
        </w:rPr>
        <w:t xml:space="preserve">PRESUPUESTO INICIAL    </w:t>
      </w:r>
    </w:p>
    <w:p w:rsidR="00C32B9A" w:rsidRPr="002510E7" w:rsidRDefault="00C32B9A" w:rsidP="00C32B9A">
      <w:pPr>
        <w:spacing w:before="0" w:after="0"/>
        <w:rPr>
          <w:rFonts w:ascii="Tahoma" w:hAnsi="Tahoma" w:cs="Tahoma"/>
          <w:b/>
          <w:bCs/>
          <w:sz w:val="16"/>
        </w:rPr>
      </w:pPr>
    </w:p>
    <w:p w:rsidR="00C32B9A" w:rsidRDefault="00C32B9A" w:rsidP="00C32B9A">
      <w:pPr>
        <w:spacing w:before="0" w:after="0"/>
        <w:jc w:val="both"/>
        <w:rPr>
          <w:rFonts w:ascii="Tahoma" w:hAnsi="Tahoma" w:cs="Tahoma"/>
          <w:color w:val="auto"/>
        </w:rPr>
      </w:pPr>
      <w:r w:rsidRPr="00C32B9A">
        <w:rPr>
          <w:rFonts w:ascii="Tahoma" w:hAnsi="Tahoma" w:cs="Tahoma"/>
          <w:color w:val="auto"/>
        </w:rPr>
        <w:t>El presupuesto de Gastos aprobado para la vigencia 2015 del Municipio  de</w:t>
      </w:r>
      <w:r w:rsidR="00D62647">
        <w:rPr>
          <w:rFonts w:ascii="Tahoma" w:hAnsi="Tahoma" w:cs="Tahoma"/>
          <w:color w:val="auto"/>
        </w:rPr>
        <w:t xml:space="preserve"> A</w:t>
      </w:r>
      <w:r w:rsidR="00873FB4">
        <w:rPr>
          <w:rFonts w:ascii="Tahoma" w:hAnsi="Tahoma" w:cs="Tahoma"/>
          <w:color w:val="auto"/>
        </w:rPr>
        <w:t>mbalema</w:t>
      </w:r>
      <w:r w:rsidRPr="00C32B9A">
        <w:rPr>
          <w:rFonts w:ascii="Tahoma" w:hAnsi="Tahoma" w:cs="Tahoma"/>
          <w:color w:val="auto"/>
        </w:rPr>
        <w:t>, fue de $</w:t>
      </w:r>
      <w:r w:rsidR="00C02000">
        <w:rPr>
          <w:rFonts w:ascii="Tahoma" w:hAnsi="Tahoma" w:cs="Tahoma"/>
          <w:color w:val="auto"/>
        </w:rPr>
        <w:t>5</w:t>
      </w:r>
      <w:r w:rsidR="00873FB4">
        <w:rPr>
          <w:rFonts w:ascii="Tahoma" w:hAnsi="Tahoma" w:cs="Tahoma"/>
          <w:color w:val="auto"/>
        </w:rPr>
        <w:t>.234</w:t>
      </w:r>
      <w:r w:rsidR="00881C9C">
        <w:rPr>
          <w:rFonts w:ascii="Tahoma" w:hAnsi="Tahoma" w:cs="Tahoma"/>
          <w:color w:val="auto"/>
        </w:rPr>
        <w:t xml:space="preserve"> millones</w:t>
      </w:r>
      <w:r w:rsidRPr="00C32B9A">
        <w:rPr>
          <w:rFonts w:ascii="Tahoma" w:hAnsi="Tahoma" w:cs="Tahoma"/>
          <w:color w:val="auto"/>
        </w:rPr>
        <w:t>, de los cuales $</w:t>
      </w:r>
      <w:r w:rsidR="00D62647">
        <w:rPr>
          <w:rFonts w:ascii="Tahoma" w:hAnsi="Tahoma" w:cs="Tahoma"/>
          <w:color w:val="auto"/>
        </w:rPr>
        <w:t>1.</w:t>
      </w:r>
      <w:r w:rsidR="00C02000">
        <w:rPr>
          <w:rFonts w:ascii="Tahoma" w:hAnsi="Tahoma" w:cs="Tahoma"/>
          <w:color w:val="auto"/>
        </w:rPr>
        <w:t>362</w:t>
      </w:r>
      <w:r w:rsidR="00881C9C">
        <w:rPr>
          <w:rFonts w:ascii="Tahoma" w:hAnsi="Tahoma" w:cs="Tahoma"/>
          <w:color w:val="auto"/>
        </w:rPr>
        <w:t xml:space="preserve"> millones</w:t>
      </w:r>
      <w:r w:rsidRPr="00C32B9A">
        <w:rPr>
          <w:rFonts w:ascii="Tahoma" w:hAnsi="Tahoma" w:cs="Tahoma"/>
          <w:color w:val="auto"/>
        </w:rPr>
        <w:t xml:space="preserve"> correspondieron a Gastos de funcionamiento, es decir un </w:t>
      </w:r>
      <w:r w:rsidR="0035110E">
        <w:rPr>
          <w:rFonts w:ascii="Tahoma" w:hAnsi="Tahoma" w:cs="Tahoma"/>
          <w:color w:val="auto"/>
        </w:rPr>
        <w:t>26.03</w:t>
      </w:r>
      <w:r w:rsidR="000344EC">
        <w:rPr>
          <w:rFonts w:ascii="Tahoma" w:hAnsi="Tahoma" w:cs="Tahoma"/>
          <w:color w:val="auto"/>
        </w:rPr>
        <w:t>%, Deuda P</w:t>
      </w:r>
      <w:r w:rsidR="00D62647">
        <w:rPr>
          <w:rFonts w:ascii="Tahoma" w:hAnsi="Tahoma" w:cs="Tahoma"/>
          <w:color w:val="auto"/>
        </w:rPr>
        <w:t>ública</w:t>
      </w:r>
      <w:r w:rsidR="0035110E">
        <w:rPr>
          <w:rFonts w:ascii="Tahoma" w:hAnsi="Tahoma" w:cs="Tahoma"/>
          <w:color w:val="auto"/>
        </w:rPr>
        <w:t xml:space="preserve"> 81 millones con un 1.56%</w:t>
      </w:r>
      <w:r w:rsidR="000344EC">
        <w:rPr>
          <w:rFonts w:ascii="Tahoma" w:hAnsi="Tahoma" w:cs="Tahoma"/>
          <w:color w:val="auto"/>
        </w:rPr>
        <w:t xml:space="preserve"> </w:t>
      </w:r>
      <w:r w:rsidRPr="00C32B9A">
        <w:rPr>
          <w:rFonts w:ascii="Tahoma" w:hAnsi="Tahoma" w:cs="Tahoma"/>
          <w:color w:val="auto"/>
        </w:rPr>
        <w:t>y Gastos de Inversión</w:t>
      </w:r>
      <w:r w:rsidR="00D62647">
        <w:rPr>
          <w:rFonts w:ascii="Tahoma" w:hAnsi="Tahoma" w:cs="Tahoma"/>
          <w:color w:val="auto"/>
        </w:rPr>
        <w:t xml:space="preserve"> $</w:t>
      </w:r>
      <w:r w:rsidR="0035110E">
        <w:rPr>
          <w:rFonts w:ascii="Tahoma" w:hAnsi="Tahoma" w:cs="Tahoma"/>
          <w:color w:val="auto"/>
        </w:rPr>
        <w:t>3.789</w:t>
      </w:r>
      <w:r w:rsidR="000344EC">
        <w:rPr>
          <w:rFonts w:ascii="Tahoma" w:hAnsi="Tahoma" w:cs="Tahoma"/>
          <w:color w:val="auto"/>
        </w:rPr>
        <w:t xml:space="preserve"> millones</w:t>
      </w:r>
      <w:r w:rsidR="00D62647">
        <w:rPr>
          <w:rFonts w:ascii="Tahoma" w:hAnsi="Tahoma" w:cs="Tahoma"/>
          <w:color w:val="auto"/>
        </w:rPr>
        <w:t xml:space="preserve"> con un </w:t>
      </w:r>
      <w:r w:rsidR="0035110E">
        <w:rPr>
          <w:rFonts w:ascii="Tahoma" w:hAnsi="Tahoma" w:cs="Tahoma"/>
          <w:color w:val="auto"/>
        </w:rPr>
        <w:t>72.41</w:t>
      </w:r>
      <w:r w:rsidRPr="00C32B9A">
        <w:rPr>
          <w:rFonts w:ascii="Tahoma" w:hAnsi="Tahoma" w:cs="Tahoma"/>
          <w:color w:val="auto"/>
        </w:rPr>
        <w:t>%.</w:t>
      </w:r>
      <w:r w:rsidR="00A566FE">
        <w:rPr>
          <w:rFonts w:ascii="Tahoma" w:hAnsi="Tahoma" w:cs="Tahoma"/>
          <w:color w:val="auto"/>
        </w:rPr>
        <w:t xml:space="preserve">  Ver gráfico</w:t>
      </w:r>
      <w:r w:rsidR="00CB6457">
        <w:rPr>
          <w:rFonts w:ascii="Tahoma" w:hAnsi="Tahoma" w:cs="Tahoma"/>
          <w:color w:val="auto"/>
        </w:rPr>
        <w:t>.</w:t>
      </w:r>
    </w:p>
    <w:p w:rsidR="006948C5" w:rsidRDefault="006948C5" w:rsidP="00C32B9A">
      <w:pPr>
        <w:spacing w:before="0" w:after="0"/>
        <w:jc w:val="both"/>
        <w:rPr>
          <w:rFonts w:ascii="Tahoma" w:hAnsi="Tahoma" w:cs="Tahoma"/>
          <w:color w:val="auto"/>
        </w:rPr>
      </w:pPr>
    </w:p>
    <w:p w:rsidR="006948C5" w:rsidRPr="00C32B9A" w:rsidRDefault="006948C5" w:rsidP="00C32B9A">
      <w:pPr>
        <w:spacing w:before="0" w:after="0"/>
        <w:jc w:val="both"/>
        <w:rPr>
          <w:rFonts w:ascii="Tahoma" w:hAnsi="Tahoma" w:cs="Tahoma"/>
          <w:color w:val="auto"/>
        </w:rPr>
      </w:pPr>
      <w:r>
        <w:rPr>
          <w:rFonts w:ascii="Tahoma" w:hAnsi="Tahoma" w:cs="Tahoma"/>
          <w:noProof/>
          <w:color w:val="auto"/>
        </w:rPr>
        <w:lastRenderedPageBreak/>
        <w:drawing>
          <wp:inline distT="0" distB="0" distL="0" distR="0" wp14:anchorId="2408FF4E" wp14:editId="08371CB2">
            <wp:extent cx="5486400" cy="2815200"/>
            <wp:effectExtent l="0" t="0" r="0" b="4445"/>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948C5" w:rsidRDefault="00C32B9A" w:rsidP="00C32B9A">
      <w:pPr>
        <w:spacing w:before="0" w:after="0"/>
        <w:jc w:val="both"/>
        <w:rPr>
          <w:rFonts w:ascii="Tahoma" w:hAnsi="Tahoma" w:cs="Tahoma"/>
          <w:color w:val="auto"/>
        </w:rPr>
      </w:pPr>
      <w:r>
        <w:rPr>
          <w:rFonts w:ascii="Tahoma" w:hAnsi="Tahoma" w:cs="Tahoma"/>
          <w:color w:val="auto"/>
        </w:rPr>
        <w:t xml:space="preserve"> </w:t>
      </w:r>
    </w:p>
    <w:p w:rsidR="0056750E" w:rsidRDefault="00595DA7" w:rsidP="0056750E">
      <w:pPr>
        <w:spacing w:before="0" w:after="0"/>
        <w:jc w:val="both"/>
        <w:rPr>
          <w:rFonts w:ascii="Tahoma" w:hAnsi="Tahoma" w:cs="Tahoma"/>
          <w:color w:val="auto"/>
        </w:rPr>
      </w:pPr>
      <w:r w:rsidRPr="00E255C8">
        <w:rPr>
          <w:rFonts w:ascii="Tahoma" w:hAnsi="Tahoma" w:cs="Tahoma"/>
          <w:b/>
          <w:color w:val="auto"/>
        </w:rPr>
        <w:t>Los Gastos de Funcionamiento</w:t>
      </w:r>
      <w:r>
        <w:rPr>
          <w:rFonts w:ascii="Tahoma" w:hAnsi="Tahoma" w:cs="Tahoma"/>
          <w:color w:val="auto"/>
        </w:rPr>
        <w:t xml:space="preserve"> se subdividieron en</w:t>
      </w:r>
      <w:r w:rsidR="005325B4">
        <w:rPr>
          <w:rFonts w:ascii="Tahoma" w:hAnsi="Tahoma" w:cs="Tahoma"/>
          <w:color w:val="auto"/>
        </w:rPr>
        <w:t xml:space="preserve"> Servicios Personales</w:t>
      </w:r>
      <w:r w:rsidR="00815CEE">
        <w:rPr>
          <w:rFonts w:ascii="Tahoma" w:hAnsi="Tahoma" w:cs="Tahoma"/>
          <w:color w:val="auto"/>
        </w:rPr>
        <w:t xml:space="preserve"> con $</w:t>
      </w:r>
      <w:r w:rsidR="00003666">
        <w:rPr>
          <w:rFonts w:ascii="Tahoma" w:hAnsi="Tahoma" w:cs="Tahoma"/>
          <w:color w:val="auto"/>
        </w:rPr>
        <w:t>601</w:t>
      </w:r>
      <w:r w:rsidR="00881C9C">
        <w:rPr>
          <w:rFonts w:ascii="Tahoma" w:hAnsi="Tahoma" w:cs="Tahoma"/>
          <w:color w:val="auto"/>
        </w:rPr>
        <w:t xml:space="preserve"> millones</w:t>
      </w:r>
      <w:r w:rsidR="00815CEE">
        <w:rPr>
          <w:rFonts w:ascii="Tahoma" w:hAnsi="Tahoma" w:cs="Tahoma"/>
          <w:color w:val="auto"/>
        </w:rPr>
        <w:t xml:space="preserve">, es decir con un </w:t>
      </w:r>
      <w:r w:rsidR="00003666">
        <w:rPr>
          <w:rFonts w:ascii="Tahoma" w:hAnsi="Tahoma" w:cs="Tahoma"/>
          <w:color w:val="auto"/>
        </w:rPr>
        <w:t>4</w:t>
      </w:r>
      <w:r w:rsidR="007430EF">
        <w:rPr>
          <w:rFonts w:ascii="Tahoma" w:hAnsi="Tahoma" w:cs="Tahoma"/>
          <w:color w:val="auto"/>
        </w:rPr>
        <w:t>4.</w:t>
      </w:r>
      <w:r w:rsidR="00003666">
        <w:rPr>
          <w:rFonts w:ascii="Tahoma" w:hAnsi="Tahoma" w:cs="Tahoma"/>
          <w:color w:val="auto"/>
        </w:rPr>
        <w:t>1</w:t>
      </w:r>
      <w:r w:rsidR="007430EF">
        <w:rPr>
          <w:rFonts w:ascii="Tahoma" w:hAnsi="Tahoma" w:cs="Tahoma"/>
          <w:color w:val="auto"/>
        </w:rPr>
        <w:t>6</w:t>
      </w:r>
      <w:r w:rsidR="00815CEE" w:rsidRPr="003539AE">
        <w:rPr>
          <w:rFonts w:ascii="Tahoma" w:hAnsi="Tahoma" w:cs="Tahoma"/>
          <w:color w:val="auto"/>
        </w:rPr>
        <w:t>%</w:t>
      </w:r>
      <w:r w:rsidR="00BE515D">
        <w:rPr>
          <w:rFonts w:ascii="Tahoma" w:hAnsi="Tahoma" w:cs="Tahoma"/>
          <w:color w:val="auto"/>
        </w:rPr>
        <w:t>, Transferencias</w:t>
      </w:r>
      <w:r w:rsidR="00815CEE" w:rsidRPr="003539AE">
        <w:rPr>
          <w:rFonts w:ascii="Tahoma" w:hAnsi="Tahoma" w:cs="Tahoma"/>
          <w:color w:val="auto"/>
        </w:rPr>
        <w:t xml:space="preserve"> $</w:t>
      </w:r>
      <w:r w:rsidR="00003666">
        <w:rPr>
          <w:rFonts w:ascii="Tahoma" w:hAnsi="Tahoma" w:cs="Tahoma"/>
          <w:color w:val="auto"/>
        </w:rPr>
        <w:t>488</w:t>
      </w:r>
      <w:r w:rsidR="00881C9C" w:rsidRPr="003539AE">
        <w:rPr>
          <w:rFonts w:ascii="Tahoma" w:hAnsi="Tahoma" w:cs="Tahoma"/>
          <w:color w:val="auto"/>
        </w:rPr>
        <w:t xml:space="preserve"> millones</w:t>
      </w:r>
      <w:r w:rsidR="00BE515D">
        <w:rPr>
          <w:rFonts w:ascii="Tahoma" w:hAnsi="Tahoma" w:cs="Tahoma"/>
          <w:color w:val="auto"/>
        </w:rPr>
        <w:t>,</w:t>
      </w:r>
      <w:r w:rsidR="00815CEE" w:rsidRPr="003539AE">
        <w:rPr>
          <w:rFonts w:ascii="Tahoma" w:hAnsi="Tahoma" w:cs="Tahoma"/>
          <w:color w:val="auto"/>
        </w:rPr>
        <w:t xml:space="preserve"> </w:t>
      </w:r>
      <w:r w:rsidR="00BE515D">
        <w:rPr>
          <w:rFonts w:ascii="Tahoma" w:hAnsi="Tahoma" w:cs="Tahoma"/>
          <w:color w:val="auto"/>
        </w:rPr>
        <w:t xml:space="preserve">con </w:t>
      </w:r>
      <w:r w:rsidR="00815CEE" w:rsidRPr="003539AE">
        <w:rPr>
          <w:rFonts w:ascii="Tahoma" w:hAnsi="Tahoma" w:cs="Tahoma"/>
          <w:color w:val="auto"/>
        </w:rPr>
        <w:t xml:space="preserve">un </w:t>
      </w:r>
      <w:r w:rsidR="00003666">
        <w:rPr>
          <w:rFonts w:ascii="Tahoma" w:hAnsi="Tahoma" w:cs="Tahoma"/>
          <w:color w:val="auto"/>
        </w:rPr>
        <w:t>3</w:t>
      </w:r>
      <w:r w:rsidR="007430EF">
        <w:rPr>
          <w:rFonts w:ascii="Tahoma" w:hAnsi="Tahoma" w:cs="Tahoma"/>
          <w:color w:val="auto"/>
        </w:rPr>
        <w:t>5.</w:t>
      </w:r>
      <w:r w:rsidR="00003666">
        <w:rPr>
          <w:rFonts w:ascii="Tahoma" w:hAnsi="Tahoma" w:cs="Tahoma"/>
          <w:color w:val="auto"/>
        </w:rPr>
        <w:t>84</w:t>
      </w:r>
      <w:r w:rsidR="003559D7" w:rsidRPr="003539AE">
        <w:rPr>
          <w:rFonts w:ascii="Tahoma" w:hAnsi="Tahoma" w:cs="Tahoma"/>
          <w:color w:val="auto"/>
        </w:rPr>
        <w:t>%,</w:t>
      </w:r>
      <w:r w:rsidR="00815CEE" w:rsidRPr="003539AE">
        <w:rPr>
          <w:rFonts w:ascii="Tahoma" w:hAnsi="Tahoma" w:cs="Tahoma"/>
          <w:color w:val="auto"/>
        </w:rPr>
        <w:t xml:space="preserve"> </w:t>
      </w:r>
      <w:r w:rsidR="005325B4" w:rsidRPr="003539AE">
        <w:rPr>
          <w:rFonts w:ascii="Tahoma" w:hAnsi="Tahoma" w:cs="Tahoma"/>
          <w:color w:val="auto"/>
        </w:rPr>
        <w:t xml:space="preserve"> Gastos Generales</w:t>
      </w:r>
      <w:r w:rsidR="00881C9C" w:rsidRPr="003539AE">
        <w:rPr>
          <w:rFonts w:ascii="Tahoma" w:hAnsi="Tahoma" w:cs="Tahoma"/>
          <w:color w:val="auto"/>
        </w:rPr>
        <w:t xml:space="preserve"> $</w:t>
      </w:r>
      <w:r w:rsidR="00003666">
        <w:rPr>
          <w:rFonts w:ascii="Tahoma" w:hAnsi="Tahoma" w:cs="Tahoma"/>
          <w:color w:val="auto"/>
        </w:rPr>
        <w:t>195</w:t>
      </w:r>
      <w:r w:rsidR="00881C9C" w:rsidRPr="003539AE">
        <w:rPr>
          <w:rFonts w:ascii="Tahoma" w:hAnsi="Tahoma" w:cs="Tahoma"/>
          <w:color w:val="auto"/>
        </w:rPr>
        <w:t xml:space="preserve"> millones</w:t>
      </w:r>
      <w:r w:rsidR="00817D8E" w:rsidRPr="003539AE">
        <w:rPr>
          <w:rFonts w:ascii="Tahoma" w:hAnsi="Tahoma" w:cs="Tahoma"/>
          <w:color w:val="auto"/>
        </w:rPr>
        <w:t xml:space="preserve"> con un </w:t>
      </w:r>
      <w:r w:rsidR="00003666">
        <w:rPr>
          <w:rFonts w:ascii="Tahoma" w:hAnsi="Tahoma" w:cs="Tahoma"/>
          <w:color w:val="auto"/>
        </w:rPr>
        <w:t>1</w:t>
      </w:r>
      <w:r w:rsidR="003559D7" w:rsidRPr="003539AE">
        <w:rPr>
          <w:rFonts w:ascii="Tahoma" w:hAnsi="Tahoma" w:cs="Tahoma"/>
          <w:color w:val="auto"/>
        </w:rPr>
        <w:t>4</w:t>
      </w:r>
      <w:r w:rsidR="007430EF">
        <w:rPr>
          <w:rFonts w:ascii="Tahoma" w:hAnsi="Tahoma" w:cs="Tahoma"/>
          <w:color w:val="auto"/>
        </w:rPr>
        <w:t>.</w:t>
      </w:r>
      <w:r w:rsidR="00003666">
        <w:rPr>
          <w:rFonts w:ascii="Tahoma" w:hAnsi="Tahoma" w:cs="Tahoma"/>
          <w:color w:val="auto"/>
        </w:rPr>
        <w:t>33</w:t>
      </w:r>
      <w:r w:rsidR="007430EF">
        <w:rPr>
          <w:rFonts w:ascii="Tahoma" w:hAnsi="Tahoma" w:cs="Tahoma"/>
          <w:color w:val="auto"/>
        </w:rPr>
        <w:t xml:space="preserve">%, </w:t>
      </w:r>
      <w:r w:rsidR="00003666">
        <w:rPr>
          <w:rFonts w:ascii="Tahoma" w:hAnsi="Tahoma" w:cs="Tahoma"/>
          <w:color w:val="auto"/>
        </w:rPr>
        <w:t>Déficit Presupuestal $77 mil</w:t>
      </w:r>
      <w:r w:rsidR="009F2029">
        <w:rPr>
          <w:rFonts w:ascii="Tahoma" w:hAnsi="Tahoma" w:cs="Tahoma"/>
          <w:color w:val="auto"/>
        </w:rPr>
        <w:t xml:space="preserve">lones con un </w:t>
      </w:r>
      <w:r w:rsidR="00003666">
        <w:rPr>
          <w:rFonts w:ascii="Tahoma" w:hAnsi="Tahoma" w:cs="Tahoma"/>
          <w:color w:val="auto"/>
        </w:rPr>
        <w:t>5.67</w:t>
      </w:r>
      <w:r w:rsidR="0056750E">
        <w:rPr>
          <w:rFonts w:ascii="Tahoma" w:hAnsi="Tahoma" w:cs="Tahoma"/>
          <w:color w:val="auto"/>
        </w:rPr>
        <w:t>%.</w:t>
      </w:r>
    </w:p>
    <w:p w:rsidR="00595DA7" w:rsidRDefault="00595DA7" w:rsidP="0056750E">
      <w:pPr>
        <w:spacing w:before="0" w:after="0"/>
        <w:jc w:val="both"/>
        <w:rPr>
          <w:rFonts w:ascii="Tahoma" w:hAnsi="Tahoma" w:cs="Tahoma"/>
          <w:color w:val="auto"/>
        </w:rPr>
      </w:pPr>
      <w:r w:rsidRPr="003539AE">
        <w:rPr>
          <w:rFonts w:ascii="Tahoma" w:hAnsi="Tahoma" w:cs="Tahoma"/>
          <w:color w:val="auto"/>
        </w:rPr>
        <w:tab/>
      </w:r>
    </w:p>
    <w:p w:rsidR="00595DA7" w:rsidRDefault="00EF1F54" w:rsidP="001D6862">
      <w:pPr>
        <w:spacing w:before="0" w:after="0"/>
        <w:rPr>
          <w:rFonts w:ascii="Tahoma" w:hAnsi="Tahoma" w:cs="Tahoma"/>
          <w:b/>
          <w:szCs w:val="24"/>
        </w:rPr>
      </w:pPr>
      <w:r>
        <w:rPr>
          <w:rFonts w:ascii="Tahoma" w:hAnsi="Tahoma" w:cs="Tahoma"/>
          <w:noProof/>
          <w:color w:val="auto"/>
        </w:rPr>
        <w:drawing>
          <wp:inline distT="0" distB="0" distL="0" distR="0" wp14:anchorId="45548579" wp14:editId="56913E42">
            <wp:extent cx="5486400" cy="3208020"/>
            <wp:effectExtent l="0" t="0" r="19050" b="11430"/>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A0FB7" w:rsidRDefault="00AA0FB7" w:rsidP="00595DA7">
      <w:pPr>
        <w:spacing w:before="0" w:after="0"/>
        <w:jc w:val="both"/>
        <w:rPr>
          <w:rFonts w:ascii="Tahoma" w:hAnsi="Tahoma" w:cs="Tahoma"/>
          <w:color w:val="auto"/>
        </w:rPr>
      </w:pPr>
    </w:p>
    <w:p w:rsidR="00740BC2" w:rsidRDefault="00740BC2" w:rsidP="00595DA7">
      <w:pPr>
        <w:spacing w:before="0" w:after="0"/>
        <w:jc w:val="both"/>
        <w:rPr>
          <w:rFonts w:ascii="Tahoma" w:hAnsi="Tahoma" w:cs="Tahoma"/>
          <w:b/>
          <w:color w:val="auto"/>
        </w:rPr>
      </w:pPr>
    </w:p>
    <w:p w:rsidR="00EE108B" w:rsidRDefault="00595DA7" w:rsidP="00595DA7">
      <w:pPr>
        <w:spacing w:before="0" w:after="0"/>
        <w:jc w:val="both"/>
        <w:rPr>
          <w:rFonts w:ascii="Tahoma" w:hAnsi="Tahoma" w:cs="Tahoma"/>
          <w:color w:val="auto"/>
        </w:rPr>
      </w:pPr>
      <w:r w:rsidRPr="00E255C8">
        <w:rPr>
          <w:rFonts w:ascii="Tahoma" w:hAnsi="Tahoma" w:cs="Tahoma"/>
          <w:b/>
          <w:color w:val="auto"/>
        </w:rPr>
        <w:t>Los Gastos de inversión</w:t>
      </w:r>
      <w:r w:rsidRPr="006309B9">
        <w:rPr>
          <w:rFonts w:ascii="Tahoma" w:hAnsi="Tahoma" w:cs="Tahoma"/>
          <w:color w:val="auto"/>
        </w:rPr>
        <w:t xml:space="preserve"> se </w:t>
      </w:r>
      <w:r w:rsidR="00AA0FB7" w:rsidRPr="006309B9">
        <w:rPr>
          <w:rFonts w:ascii="Tahoma" w:hAnsi="Tahoma" w:cs="Tahoma"/>
          <w:color w:val="auto"/>
        </w:rPr>
        <w:t>Clasificaron en</w:t>
      </w:r>
      <w:r>
        <w:rPr>
          <w:rFonts w:ascii="Tahoma" w:hAnsi="Tahoma" w:cs="Tahoma"/>
          <w:color w:val="auto"/>
        </w:rPr>
        <w:t>:</w:t>
      </w:r>
      <w:r w:rsidR="00AA0FB7">
        <w:rPr>
          <w:rFonts w:ascii="Tahoma" w:hAnsi="Tahoma" w:cs="Tahoma"/>
          <w:color w:val="auto"/>
        </w:rPr>
        <w:t xml:space="preserve"> </w:t>
      </w:r>
      <w:r w:rsidR="00690E68">
        <w:rPr>
          <w:rFonts w:ascii="Tahoma" w:hAnsi="Tahoma" w:cs="Tahoma"/>
          <w:color w:val="auto"/>
        </w:rPr>
        <w:t xml:space="preserve">Sector Salud </w:t>
      </w:r>
      <w:r w:rsidR="00EE108B">
        <w:rPr>
          <w:rFonts w:ascii="Tahoma" w:hAnsi="Tahoma" w:cs="Tahoma"/>
          <w:color w:val="auto"/>
        </w:rPr>
        <w:t>63.46</w:t>
      </w:r>
      <w:r w:rsidR="0084571C">
        <w:rPr>
          <w:rFonts w:ascii="Tahoma" w:hAnsi="Tahoma" w:cs="Tahoma"/>
          <w:color w:val="auto"/>
        </w:rPr>
        <w:t>%</w:t>
      </w:r>
      <w:r w:rsidR="00690E68">
        <w:rPr>
          <w:rFonts w:ascii="Tahoma" w:hAnsi="Tahoma" w:cs="Tahoma"/>
          <w:color w:val="auto"/>
        </w:rPr>
        <w:t xml:space="preserve">, </w:t>
      </w:r>
      <w:r w:rsidR="00EE108B">
        <w:rPr>
          <w:rFonts w:ascii="Tahoma" w:hAnsi="Tahoma" w:cs="Tahoma"/>
          <w:color w:val="auto"/>
        </w:rPr>
        <w:t>Sector Educación 7.24%, Sector Fortalecimiento Institucional 6.86%, Sector Medio Ambiente 6.44%, Sector Justicia y Seguridad 3.43% y otros sectores 12.57%</w:t>
      </w:r>
    </w:p>
    <w:p w:rsidR="00EE108B" w:rsidRDefault="00EE108B" w:rsidP="00595DA7">
      <w:pPr>
        <w:spacing w:before="0" w:after="0"/>
        <w:jc w:val="both"/>
        <w:rPr>
          <w:rFonts w:ascii="Tahoma" w:hAnsi="Tahoma" w:cs="Tahoma"/>
          <w:color w:val="auto"/>
        </w:rPr>
      </w:pPr>
    </w:p>
    <w:p w:rsidR="00BB226F" w:rsidRDefault="00BB226F" w:rsidP="00595DA7">
      <w:pPr>
        <w:spacing w:before="0" w:after="0"/>
        <w:jc w:val="both"/>
        <w:rPr>
          <w:rFonts w:ascii="Tahoma" w:hAnsi="Tahoma" w:cs="Tahoma"/>
          <w:color w:val="auto"/>
        </w:rPr>
      </w:pPr>
    </w:p>
    <w:p w:rsidR="000740A1" w:rsidRDefault="000740A1" w:rsidP="00595DA7">
      <w:pPr>
        <w:spacing w:before="0" w:after="0"/>
        <w:jc w:val="both"/>
        <w:rPr>
          <w:rFonts w:ascii="Tahoma" w:hAnsi="Tahoma" w:cs="Tahoma"/>
          <w:color w:val="auto"/>
        </w:rPr>
      </w:pPr>
      <w:r>
        <w:rPr>
          <w:rFonts w:ascii="Tahoma" w:hAnsi="Tahoma" w:cs="Tahoma"/>
          <w:noProof/>
          <w:color w:val="auto"/>
        </w:rPr>
        <w:drawing>
          <wp:inline distT="0" distB="0" distL="0" distR="0" wp14:anchorId="1D0E58DF" wp14:editId="4A743642">
            <wp:extent cx="5875020" cy="3459480"/>
            <wp:effectExtent l="0" t="0" r="11430" b="26670"/>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E2CF6" w:rsidRDefault="00595DA7" w:rsidP="00817D8E">
      <w:pPr>
        <w:tabs>
          <w:tab w:val="left" w:pos="4989"/>
          <w:tab w:val="left" w:pos="5901"/>
        </w:tabs>
        <w:spacing w:before="0" w:after="0"/>
        <w:jc w:val="both"/>
        <w:rPr>
          <w:rFonts w:ascii="Tahoma" w:hAnsi="Tahoma" w:cs="Tahoma"/>
          <w:b/>
          <w:szCs w:val="24"/>
        </w:rPr>
      </w:pPr>
      <w:r>
        <w:rPr>
          <w:rFonts w:ascii="Tahoma" w:hAnsi="Tahoma" w:cs="Tahoma"/>
          <w:color w:val="auto"/>
        </w:rPr>
        <w:tab/>
      </w:r>
    </w:p>
    <w:p w:rsidR="00231ECA" w:rsidRDefault="00231ECA" w:rsidP="001D6862">
      <w:pPr>
        <w:spacing w:before="0" w:after="0"/>
        <w:rPr>
          <w:rFonts w:ascii="Tahoma" w:hAnsi="Tahoma" w:cs="Tahoma"/>
          <w:b/>
          <w:szCs w:val="24"/>
        </w:rPr>
      </w:pPr>
    </w:p>
    <w:p w:rsidR="00682367" w:rsidRPr="00B761E4" w:rsidRDefault="00B761E4" w:rsidP="001D6862">
      <w:pPr>
        <w:spacing w:before="0" w:after="0"/>
        <w:rPr>
          <w:rFonts w:ascii="Tahoma" w:hAnsi="Tahoma" w:cs="Tahoma"/>
          <w:b/>
          <w:szCs w:val="24"/>
        </w:rPr>
      </w:pPr>
      <w:r w:rsidRPr="00B761E4">
        <w:rPr>
          <w:rFonts w:ascii="Tahoma" w:hAnsi="Tahoma" w:cs="Tahoma"/>
          <w:b/>
          <w:szCs w:val="24"/>
        </w:rPr>
        <w:t>MODIFICACIONES AL PRESUPUESTO DE GASTOS</w:t>
      </w:r>
      <w:r w:rsidR="00577624">
        <w:rPr>
          <w:rFonts w:ascii="Tahoma" w:hAnsi="Tahoma" w:cs="Tahoma"/>
          <w:b/>
          <w:szCs w:val="24"/>
        </w:rPr>
        <w:t xml:space="preserve"> - ADICIONES</w:t>
      </w:r>
    </w:p>
    <w:p w:rsidR="00682367" w:rsidRDefault="00B761E4" w:rsidP="00B761E4">
      <w:pPr>
        <w:tabs>
          <w:tab w:val="left" w:pos="5696"/>
        </w:tabs>
        <w:spacing w:before="0" w:after="0"/>
        <w:jc w:val="both"/>
        <w:rPr>
          <w:rFonts w:ascii="Tahoma" w:hAnsi="Tahoma" w:cs="Tahoma"/>
          <w:szCs w:val="24"/>
        </w:rPr>
      </w:pPr>
      <w:r>
        <w:rPr>
          <w:rFonts w:ascii="Tahoma" w:hAnsi="Tahoma" w:cs="Tahoma"/>
          <w:szCs w:val="24"/>
        </w:rPr>
        <w:tab/>
      </w:r>
    </w:p>
    <w:p w:rsidR="00264A57" w:rsidRDefault="00B761E4" w:rsidP="00595DA7">
      <w:pPr>
        <w:tabs>
          <w:tab w:val="left" w:pos="5696"/>
        </w:tabs>
        <w:spacing w:before="0" w:after="0"/>
        <w:jc w:val="both"/>
        <w:rPr>
          <w:rFonts w:ascii="Tahoma" w:hAnsi="Tahoma" w:cs="Tahoma"/>
          <w:szCs w:val="24"/>
        </w:rPr>
      </w:pPr>
      <w:r>
        <w:rPr>
          <w:rFonts w:ascii="Tahoma" w:hAnsi="Tahoma" w:cs="Tahoma"/>
          <w:szCs w:val="24"/>
        </w:rPr>
        <w:t xml:space="preserve">El presupuesto de gastos del Municipio </w:t>
      </w:r>
      <w:r w:rsidR="0000440B">
        <w:rPr>
          <w:rFonts w:ascii="Tahoma" w:hAnsi="Tahoma" w:cs="Tahoma"/>
          <w:szCs w:val="24"/>
        </w:rPr>
        <w:t>A</w:t>
      </w:r>
      <w:r w:rsidR="00570EEE">
        <w:rPr>
          <w:rFonts w:ascii="Tahoma" w:hAnsi="Tahoma" w:cs="Tahoma"/>
          <w:szCs w:val="24"/>
        </w:rPr>
        <w:t>mbalema</w:t>
      </w:r>
      <w:r w:rsidR="0000440B">
        <w:rPr>
          <w:rFonts w:ascii="Tahoma" w:hAnsi="Tahoma" w:cs="Tahoma"/>
          <w:szCs w:val="24"/>
        </w:rPr>
        <w:t xml:space="preserve"> </w:t>
      </w:r>
      <w:r>
        <w:rPr>
          <w:rFonts w:ascii="Tahoma" w:hAnsi="Tahoma" w:cs="Tahoma"/>
          <w:szCs w:val="24"/>
        </w:rPr>
        <w:t xml:space="preserve">de </w:t>
      </w:r>
      <w:r w:rsidR="00595DA7">
        <w:rPr>
          <w:rFonts w:ascii="Tahoma" w:hAnsi="Tahoma" w:cs="Tahoma"/>
          <w:szCs w:val="24"/>
        </w:rPr>
        <w:t>la vigencia 2015, presentó Adiciones pres</w:t>
      </w:r>
      <w:r w:rsidR="00264A57">
        <w:rPr>
          <w:rFonts w:ascii="Tahoma" w:hAnsi="Tahoma" w:cs="Tahoma"/>
          <w:szCs w:val="24"/>
        </w:rPr>
        <w:t xml:space="preserve">upuestales en la suma de $ </w:t>
      </w:r>
      <w:r w:rsidR="00570EEE">
        <w:rPr>
          <w:rFonts w:ascii="Tahoma" w:hAnsi="Tahoma" w:cs="Tahoma"/>
          <w:szCs w:val="24"/>
        </w:rPr>
        <w:t>4.205</w:t>
      </w:r>
      <w:r w:rsidR="0000440B">
        <w:rPr>
          <w:rFonts w:ascii="Tahoma" w:hAnsi="Tahoma" w:cs="Tahoma"/>
          <w:szCs w:val="24"/>
        </w:rPr>
        <w:t xml:space="preserve"> </w:t>
      </w:r>
      <w:r w:rsidR="00264A57">
        <w:rPr>
          <w:rFonts w:ascii="Tahoma" w:hAnsi="Tahoma" w:cs="Tahoma"/>
          <w:szCs w:val="24"/>
        </w:rPr>
        <w:t>millones</w:t>
      </w:r>
      <w:r w:rsidR="00570EEE">
        <w:rPr>
          <w:rFonts w:ascii="Tahoma" w:hAnsi="Tahoma" w:cs="Tahoma"/>
          <w:szCs w:val="24"/>
        </w:rPr>
        <w:t xml:space="preserve">, </w:t>
      </w:r>
      <w:r w:rsidR="00595DA7">
        <w:rPr>
          <w:rFonts w:ascii="Tahoma" w:hAnsi="Tahoma" w:cs="Tahoma"/>
          <w:szCs w:val="24"/>
        </w:rPr>
        <w:t>reducciones en la suma de $</w:t>
      </w:r>
      <w:r w:rsidR="0000440B">
        <w:rPr>
          <w:rFonts w:ascii="Tahoma" w:hAnsi="Tahoma" w:cs="Tahoma"/>
          <w:szCs w:val="24"/>
        </w:rPr>
        <w:t>3</w:t>
      </w:r>
      <w:r w:rsidR="00570EEE">
        <w:rPr>
          <w:rFonts w:ascii="Tahoma" w:hAnsi="Tahoma" w:cs="Tahoma"/>
          <w:szCs w:val="24"/>
        </w:rPr>
        <w:t>9</w:t>
      </w:r>
      <w:r w:rsidR="00264A57">
        <w:rPr>
          <w:rFonts w:ascii="Tahoma" w:hAnsi="Tahoma" w:cs="Tahoma"/>
          <w:szCs w:val="24"/>
        </w:rPr>
        <w:t xml:space="preserve"> millones</w:t>
      </w:r>
      <w:r w:rsidR="00E10692">
        <w:rPr>
          <w:rFonts w:ascii="Tahoma" w:hAnsi="Tahoma" w:cs="Tahoma"/>
          <w:szCs w:val="24"/>
        </w:rPr>
        <w:t xml:space="preserve"> y </w:t>
      </w:r>
      <w:r w:rsidR="00595DA7">
        <w:rPr>
          <w:rFonts w:ascii="Tahoma" w:hAnsi="Tahoma" w:cs="Tahoma"/>
          <w:szCs w:val="24"/>
        </w:rPr>
        <w:t>traslados presupuestales en la suma de $</w:t>
      </w:r>
      <w:r w:rsidR="00570EEE">
        <w:rPr>
          <w:rFonts w:ascii="Tahoma" w:hAnsi="Tahoma" w:cs="Tahoma"/>
          <w:szCs w:val="24"/>
        </w:rPr>
        <w:t>1.319</w:t>
      </w:r>
      <w:r w:rsidR="00264A57">
        <w:rPr>
          <w:rFonts w:ascii="Tahoma" w:hAnsi="Tahoma" w:cs="Tahoma"/>
          <w:szCs w:val="24"/>
        </w:rPr>
        <w:t xml:space="preserve"> millones</w:t>
      </w:r>
      <w:r w:rsidR="00595DA7">
        <w:rPr>
          <w:rFonts w:ascii="Tahoma" w:hAnsi="Tahoma" w:cs="Tahoma"/>
          <w:szCs w:val="24"/>
        </w:rPr>
        <w:t>, para un presupuesto d</w:t>
      </w:r>
      <w:r w:rsidR="00815CEE">
        <w:rPr>
          <w:rFonts w:ascii="Tahoma" w:hAnsi="Tahoma" w:cs="Tahoma"/>
          <w:szCs w:val="24"/>
        </w:rPr>
        <w:t>efinitivo de $</w:t>
      </w:r>
      <w:r w:rsidR="003D1976">
        <w:rPr>
          <w:rFonts w:ascii="Tahoma" w:hAnsi="Tahoma" w:cs="Tahoma"/>
          <w:szCs w:val="24"/>
        </w:rPr>
        <w:t>9.399</w:t>
      </w:r>
      <w:r w:rsidR="00264A57">
        <w:rPr>
          <w:rFonts w:ascii="Tahoma" w:hAnsi="Tahoma" w:cs="Tahoma"/>
          <w:szCs w:val="24"/>
        </w:rPr>
        <w:t xml:space="preserve"> millones.</w:t>
      </w:r>
    </w:p>
    <w:p w:rsidR="00264A57" w:rsidRDefault="00264A57" w:rsidP="00595DA7">
      <w:pPr>
        <w:tabs>
          <w:tab w:val="left" w:pos="5696"/>
        </w:tabs>
        <w:spacing w:before="0" w:after="0"/>
        <w:jc w:val="both"/>
        <w:rPr>
          <w:rFonts w:ascii="Tahoma" w:hAnsi="Tahoma" w:cs="Tahoma"/>
          <w:szCs w:val="24"/>
        </w:rPr>
      </w:pPr>
    </w:p>
    <w:p w:rsidR="00E324E3" w:rsidRPr="00E324E3" w:rsidRDefault="00E324E3" w:rsidP="00595DA7">
      <w:pPr>
        <w:tabs>
          <w:tab w:val="left" w:pos="5696"/>
        </w:tabs>
        <w:spacing w:before="0" w:after="0"/>
        <w:jc w:val="both"/>
        <w:rPr>
          <w:rFonts w:ascii="Tahoma" w:hAnsi="Tahoma" w:cs="Tahoma"/>
          <w:b/>
          <w:szCs w:val="24"/>
        </w:rPr>
      </w:pPr>
      <w:r w:rsidRPr="00E324E3">
        <w:rPr>
          <w:rFonts w:ascii="Tahoma" w:hAnsi="Tahoma" w:cs="Tahoma"/>
          <w:b/>
          <w:szCs w:val="24"/>
        </w:rPr>
        <w:t>MODIFICACIONES GASTOS DE FUNCIONAMIENTO</w:t>
      </w:r>
      <w:r w:rsidR="0093138C">
        <w:rPr>
          <w:rFonts w:ascii="Tahoma" w:hAnsi="Tahoma" w:cs="Tahoma"/>
          <w:b/>
          <w:szCs w:val="24"/>
        </w:rPr>
        <w:t xml:space="preserve"> E INVERSION</w:t>
      </w:r>
    </w:p>
    <w:p w:rsidR="00E324E3" w:rsidRDefault="00E324E3" w:rsidP="00595DA7">
      <w:pPr>
        <w:tabs>
          <w:tab w:val="left" w:pos="5696"/>
        </w:tabs>
        <w:spacing w:before="0" w:after="0"/>
        <w:jc w:val="both"/>
        <w:rPr>
          <w:rFonts w:ascii="Tahoma" w:hAnsi="Tahoma" w:cs="Tahoma"/>
          <w:szCs w:val="24"/>
        </w:rPr>
      </w:pPr>
    </w:p>
    <w:p w:rsidR="00E324E3" w:rsidRDefault="00E324E3" w:rsidP="00E324E3">
      <w:pPr>
        <w:tabs>
          <w:tab w:val="left" w:pos="5696"/>
        </w:tabs>
        <w:spacing w:before="0" w:after="0"/>
        <w:jc w:val="both"/>
        <w:rPr>
          <w:rFonts w:ascii="Tahoma" w:hAnsi="Tahoma" w:cs="Tahoma"/>
          <w:szCs w:val="24"/>
        </w:rPr>
      </w:pPr>
      <w:r>
        <w:rPr>
          <w:rFonts w:ascii="Tahoma" w:hAnsi="Tahoma" w:cs="Tahoma"/>
          <w:szCs w:val="24"/>
        </w:rPr>
        <w:t xml:space="preserve">Los Gastos de funcionamiento se incrementaron en un </w:t>
      </w:r>
      <w:r w:rsidR="005857D2">
        <w:rPr>
          <w:rFonts w:ascii="Tahoma" w:hAnsi="Tahoma" w:cs="Tahoma"/>
          <w:szCs w:val="24"/>
        </w:rPr>
        <w:t>46.72</w:t>
      </w:r>
      <w:r>
        <w:rPr>
          <w:rFonts w:ascii="Tahoma" w:hAnsi="Tahoma" w:cs="Tahoma"/>
          <w:szCs w:val="24"/>
        </w:rPr>
        <w:t>%, es decir la suma de $</w:t>
      </w:r>
      <w:r w:rsidR="005857D2">
        <w:rPr>
          <w:rFonts w:ascii="Tahoma" w:hAnsi="Tahoma" w:cs="Tahoma"/>
          <w:szCs w:val="24"/>
        </w:rPr>
        <w:t>636</w:t>
      </w:r>
      <w:r w:rsidR="00264A57">
        <w:rPr>
          <w:rFonts w:ascii="Tahoma" w:hAnsi="Tahoma" w:cs="Tahoma"/>
          <w:szCs w:val="24"/>
        </w:rPr>
        <w:t xml:space="preserve"> millones</w:t>
      </w:r>
      <w:r>
        <w:rPr>
          <w:rFonts w:ascii="Tahoma" w:hAnsi="Tahoma" w:cs="Tahoma"/>
          <w:szCs w:val="24"/>
        </w:rPr>
        <w:t xml:space="preserve"> y los gastos de Inversión en un </w:t>
      </w:r>
      <w:r w:rsidR="005857D2">
        <w:rPr>
          <w:rFonts w:ascii="Tahoma" w:hAnsi="Tahoma" w:cs="Tahoma"/>
          <w:szCs w:val="24"/>
        </w:rPr>
        <w:t>94.17</w:t>
      </w:r>
      <w:r>
        <w:rPr>
          <w:rFonts w:ascii="Tahoma" w:hAnsi="Tahoma" w:cs="Tahoma"/>
          <w:szCs w:val="24"/>
        </w:rPr>
        <w:t>%, equivalentes a $</w:t>
      </w:r>
      <w:r w:rsidR="005857D2">
        <w:rPr>
          <w:rFonts w:ascii="Tahoma" w:hAnsi="Tahoma" w:cs="Tahoma"/>
          <w:szCs w:val="24"/>
        </w:rPr>
        <w:t>3.568</w:t>
      </w:r>
      <w:r w:rsidR="00264A57">
        <w:rPr>
          <w:rFonts w:ascii="Tahoma" w:hAnsi="Tahoma" w:cs="Tahoma"/>
          <w:szCs w:val="24"/>
        </w:rPr>
        <w:t xml:space="preserve"> millones</w:t>
      </w:r>
      <w:r>
        <w:rPr>
          <w:rFonts w:ascii="Tahoma" w:hAnsi="Tahoma" w:cs="Tahoma"/>
          <w:szCs w:val="24"/>
        </w:rPr>
        <w:t xml:space="preserve"> </w:t>
      </w:r>
      <w:r w:rsidR="00264A57">
        <w:rPr>
          <w:rFonts w:ascii="Tahoma" w:hAnsi="Tahoma" w:cs="Tahoma"/>
          <w:szCs w:val="24"/>
        </w:rPr>
        <w:t>con</w:t>
      </w:r>
      <w:r>
        <w:rPr>
          <w:rFonts w:ascii="Tahoma" w:hAnsi="Tahoma" w:cs="Tahoma"/>
          <w:szCs w:val="24"/>
        </w:rPr>
        <w:t xml:space="preserve"> relación al presupuesto inicial.</w:t>
      </w:r>
    </w:p>
    <w:p w:rsidR="00E324E3" w:rsidRDefault="00E324E3" w:rsidP="00595DA7">
      <w:pPr>
        <w:tabs>
          <w:tab w:val="left" w:pos="5696"/>
        </w:tabs>
        <w:spacing w:before="0" w:after="0"/>
        <w:jc w:val="both"/>
        <w:rPr>
          <w:rFonts w:ascii="Tahoma" w:hAnsi="Tahoma" w:cs="Tahoma"/>
          <w:szCs w:val="24"/>
        </w:rPr>
      </w:pPr>
    </w:p>
    <w:p w:rsidR="008C2EA2" w:rsidRDefault="008C2EA2" w:rsidP="00595DA7">
      <w:pPr>
        <w:tabs>
          <w:tab w:val="left" w:pos="5696"/>
        </w:tabs>
        <w:spacing w:before="0" w:after="0"/>
        <w:jc w:val="both"/>
        <w:rPr>
          <w:rFonts w:ascii="Tahoma" w:hAnsi="Tahoma" w:cs="Tahoma"/>
          <w:szCs w:val="24"/>
        </w:rPr>
      </w:pPr>
    </w:p>
    <w:p w:rsidR="00577624" w:rsidRPr="00577624" w:rsidRDefault="00577624" w:rsidP="001D6862">
      <w:pPr>
        <w:spacing w:before="0" w:after="0"/>
        <w:jc w:val="both"/>
        <w:rPr>
          <w:rFonts w:ascii="Tahoma" w:hAnsi="Tahoma" w:cs="Tahoma"/>
          <w:b/>
          <w:color w:val="auto"/>
          <w:szCs w:val="16"/>
        </w:rPr>
      </w:pPr>
      <w:r w:rsidRPr="00577624">
        <w:rPr>
          <w:rFonts w:ascii="Tahoma" w:hAnsi="Tahoma" w:cs="Tahoma"/>
          <w:b/>
          <w:color w:val="auto"/>
          <w:szCs w:val="16"/>
        </w:rPr>
        <w:t>MODIFICACIONES GASTOS DE INVERSION</w:t>
      </w:r>
    </w:p>
    <w:p w:rsidR="00577624" w:rsidRDefault="00577624" w:rsidP="001D6862">
      <w:pPr>
        <w:spacing w:before="0" w:after="0"/>
        <w:jc w:val="both"/>
        <w:rPr>
          <w:rFonts w:ascii="Tahoma" w:hAnsi="Tahoma" w:cs="Tahoma"/>
          <w:color w:val="auto"/>
          <w:szCs w:val="16"/>
        </w:rPr>
      </w:pPr>
    </w:p>
    <w:p w:rsidR="00B03114" w:rsidRDefault="00865411" w:rsidP="001D6862">
      <w:pPr>
        <w:spacing w:before="0" w:after="0"/>
        <w:jc w:val="both"/>
        <w:rPr>
          <w:rFonts w:ascii="Tahoma" w:hAnsi="Tahoma" w:cs="Tahoma"/>
          <w:color w:val="auto"/>
          <w:szCs w:val="16"/>
        </w:rPr>
      </w:pPr>
      <w:r>
        <w:rPr>
          <w:rFonts w:ascii="Tahoma" w:hAnsi="Tahoma" w:cs="Tahoma"/>
          <w:color w:val="auto"/>
          <w:szCs w:val="16"/>
        </w:rPr>
        <w:t>Los Gastos de inversi</w:t>
      </w:r>
      <w:r w:rsidR="003B6AFE">
        <w:rPr>
          <w:rFonts w:ascii="Tahoma" w:hAnsi="Tahoma" w:cs="Tahoma"/>
          <w:color w:val="auto"/>
          <w:szCs w:val="16"/>
        </w:rPr>
        <w:t xml:space="preserve">ón </w:t>
      </w:r>
      <w:r>
        <w:rPr>
          <w:rFonts w:ascii="Tahoma" w:hAnsi="Tahoma" w:cs="Tahoma"/>
          <w:color w:val="auto"/>
          <w:szCs w:val="16"/>
        </w:rPr>
        <w:t>que</w:t>
      </w:r>
      <w:r w:rsidR="00BA3E16">
        <w:rPr>
          <w:rFonts w:ascii="Tahoma" w:hAnsi="Tahoma" w:cs="Tahoma"/>
          <w:color w:val="auto"/>
          <w:szCs w:val="16"/>
        </w:rPr>
        <w:t xml:space="preserve"> presentaron</w:t>
      </w:r>
      <w:r>
        <w:rPr>
          <w:rFonts w:ascii="Tahoma" w:hAnsi="Tahoma" w:cs="Tahoma"/>
          <w:color w:val="auto"/>
          <w:szCs w:val="16"/>
        </w:rPr>
        <w:t xml:space="preserve"> </w:t>
      </w:r>
      <w:r w:rsidR="00BA3E16">
        <w:rPr>
          <w:rFonts w:ascii="Tahoma" w:hAnsi="Tahoma" w:cs="Tahoma"/>
          <w:color w:val="auto"/>
          <w:szCs w:val="16"/>
        </w:rPr>
        <w:t>más</w:t>
      </w:r>
      <w:r w:rsidR="003B6AFE">
        <w:rPr>
          <w:rFonts w:ascii="Tahoma" w:hAnsi="Tahoma" w:cs="Tahoma"/>
          <w:color w:val="auto"/>
          <w:szCs w:val="16"/>
        </w:rPr>
        <w:t xml:space="preserve"> </w:t>
      </w:r>
      <w:r w:rsidR="00BA3E16">
        <w:rPr>
          <w:rFonts w:ascii="Tahoma" w:hAnsi="Tahoma" w:cs="Tahoma"/>
          <w:color w:val="auto"/>
          <w:szCs w:val="16"/>
        </w:rPr>
        <w:t>modificaciones</w:t>
      </w:r>
      <w:r w:rsidR="00770887">
        <w:rPr>
          <w:rFonts w:ascii="Tahoma" w:hAnsi="Tahoma" w:cs="Tahoma"/>
          <w:color w:val="auto"/>
          <w:szCs w:val="16"/>
        </w:rPr>
        <w:t xml:space="preserve"> (Adiciones)</w:t>
      </w:r>
      <w:r w:rsidR="00BA3E16">
        <w:rPr>
          <w:rFonts w:ascii="Tahoma" w:hAnsi="Tahoma" w:cs="Tahoma"/>
          <w:color w:val="auto"/>
          <w:szCs w:val="16"/>
        </w:rPr>
        <w:t xml:space="preserve"> </w:t>
      </w:r>
      <w:r w:rsidR="003B6AFE">
        <w:rPr>
          <w:rFonts w:ascii="Tahoma" w:hAnsi="Tahoma" w:cs="Tahoma"/>
          <w:color w:val="auto"/>
          <w:szCs w:val="16"/>
        </w:rPr>
        <w:t>en la vigencia 2015, fueron</w:t>
      </w:r>
      <w:r w:rsidR="00B03114">
        <w:rPr>
          <w:rFonts w:ascii="Tahoma" w:hAnsi="Tahoma" w:cs="Tahoma"/>
          <w:color w:val="auto"/>
          <w:szCs w:val="16"/>
        </w:rPr>
        <w:t xml:space="preserve">: </w:t>
      </w:r>
      <w:r w:rsidR="00C06237">
        <w:rPr>
          <w:rFonts w:ascii="Tahoma" w:hAnsi="Tahoma" w:cs="Tahoma"/>
          <w:color w:val="auto"/>
          <w:szCs w:val="16"/>
        </w:rPr>
        <w:t>Bienestar Social 761 millones, Sector Salud 419 millones, Defensa y Seguridad 80 millones, Programas de Atención a la población infantil $27 millones y Programación Atención a la tercera Edad 214 millones.</w:t>
      </w:r>
      <w:r w:rsidR="00B03114">
        <w:rPr>
          <w:rFonts w:ascii="Tahoma" w:hAnsi="Tahoma" w:cs="Tahoma"/>
          <w:color w:val="auto"/>
          <w:szCs w:val="16"/>
        </w:rPr>
        <w:t xml:space="preserve"> </w:t>
      </w:r>
    </w:p>
    <w:p w:rsidR="00B03114" w:rsidRDefault="00B03114" w:rsidP="001D6862">
      <w:pPr>
        <w:spacing w:before="0" w:after="0"/>
        <w:jc w:val="both"/>
        <w:rPr>
          <w:rFonts w:ascii="Tahoma" w:hAnsi="Tahoma" w:cs="Tahoma"/>
          <w:color w:val="auto"/>
          <w:szCs w:val="16"/>
        </w:rPr>
      </w:pPr>
    </w:p>
    <w:p w:rsidR="00FE1ACA" w:rsidRDefault="00FE1ACA" w:rsidP="00B92753">
      <w:pPr>
        <w:spacing w:before="0" w:after="0"/>
        <w:jc w:val="center"/>
        <w:rPr>
          <w:noProof/>
          <w:lang w:val="es-ES" w:eastAsia="es-ES"/>
        </w:rPr>
      </w:pPr>
    </w:p>
    <w:p w:rsidR="00FE1ACA" w:rsidRDefault="00FE1ACA" w:rsidP="00B92753">
      <w:pPr>
        <w:spacing w:before="0" w:after="0"/>
        <w:jc w:val="center"/>
        <w:rPr>
          <w:noProof/>
          <w:lang w:val="es-ES" w:eastAsia="es-ES"/>
        </w:rPr>
      </w:pPr>
      <w:r>
        <w:rPr>
          <w:noProof/>
        </w:rPr>
        <w:drawing>
          <wp:inline distT="0" distB="0" distL="0" distR="0" wp14:anchorId="576F2A03" wp14:editId="5EABAA34">
            <wp:extent cx="5486400" cy="2308860"/>
            <wp:effectExtent l="0" t="0" r="19050" b="1524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E1ACA" w:rsidRDefault="00FE1ACA" w:rsidP="00B92753">
      <w:pPr>
        <w:spacing w:before="0" w:after="0"/>
        <w:jc w:val="center"/>
        <w:rPr>
          <w:noProof/>
          <w:lang w:val="es-ES" w:eastAsia="es-ES"/>
        </w:rPr>
      </w:pPr>
    </w:p>
    <w:p w:rsidR="009531E2" w:rsidRDefault="009531E2" w:rsidP="00B92753">
      <w:pPr>
        <w:spacing w:before="0" w:after="0"/>
        <w:jc w:val="center"/>
        <w:rPr>
          <w:noProof/>
          <w:lang w:val="es-ES" w:eastAsia="es-ES"/>
        </w:rPr>
      </w:pPr>
    </w:p>
    <w:p w:rsidR="00524E1D" w:rsidRDefault="00E111B6" w:rsidP="001D6862">
      <w:pPr>
        <w:spacing w:before="0" w:after="0"/>
        <w:rPr>
          <w:rFonts w:ascii="Tahoma" w:hAnsi="Tahoma" w:cs="Tahoma"/>
          <w:b/>
          <w:szCs w:val="24"/>
        </w:rPr>
      </w:pPr>
      <w:r>
        <w:rPr>
          <w:rFonts w:ascii="Tahoma" w:hAnsi="Tahoma" w:cs="Tahoma"/>
          <w:b/>
          <w:szCs w:val="24"/>
        </w:rPr>
        <w:t>GASTOS EJECUTADOS</w:t>
      </w:r>
    </w:p>
    <w:p w:rsidR="00072FEB" w:rsidRPr="00565F73" w:rsidRDefault="00072FEB" w:rsidP="001D6862">
      <w:pPr>
        <w:spacing w:before="0" w:after="0"/>
        <w:rPr>
          <w:rFonts w:ascii="Tahoma" w:hAnsi="Tahoma" w:cs="Tahoma"/>
          <w:b/>
          <w:sz w:val="16"/>
          <w:szCs w:val="24"/>
        </w:rPr>
      </w:pPr>
    </w:p>
    <w:p w:rsidR="00CD3A6C" w:rsidRDefault="00524E1D" w:rsidP="00C01693">
      <w:pPr>
        <w:spacing w:before="0" w:after="0"/>
        <w:jc w:val="both"/>
        <w:rPr>
          <w:rFonts w:ascii="Tahoma" w:hAnsi="Tahoma" w:cs="Tahoma"/>
          <w:bCs/>
          <w:color w:val="auto"/>
        </w:rPr>
      </w:pPr>
      <w:r w:rsidRPr="00B65E8C">
        <w:rPr>
          <w:rFonts w:ascii="Tahoma" w:hAnsi="Tahoma" w:cs="Tahoma"/>
          <w:color w:val="auto"/>
        </w:rPr>
        <w:t>A</w:t>
      </w:r>
      <w:r w:rsidR="00E111B6">
        <w:rPr>
          <w:rFonts w:ascii="Tahoma" w:hAnsi="Tahoma" w:cs="Tahoma"/>
          <w:color w:val="auto"/>
        </w:rPr>
        <w:t xml:space="preserve"> Diciembre 31 de 2015, </w:t>
      </w:r>
      <w:r w:rsidRPr="00B65E8C">
        <w:rPr>
          <w:rFonts w:ascii="Tahoma" w:hAnsi="Tahoma" w:cs="Tahoma"/>
          <w:color w:val="auto"/>
        </w:rPr>
        <w:t xml:space="preserve">el Municipio de </w:t>
      </w:r>
      <w:r w:rsidR="003C2C8D">
        <w:rPr>
          <w:rFonts w:ascii="Tahoma" w:hAnsi="Tahoma" w:cs="Tahoma"/>
          <w:szCs w:val="24"/>
        </w:rPr>
        <w:t>A</w:t>
      </w:r>
      <w:r w:rsidR="001C1E2D">
        <w:rPr>
          <w:rFonts w:ascii="Tahoma" w:hAnsi="Tahoma" w:cs="Tahoma"/>
          <w:szCs w:val="24"/>
        </w:rPr>
        <w:t>mbalema</w:t>
      </w:r>
      <w:r w:rsidR="003C2C8D">
        <w:rPr>
          <w:rFonts w:ascii="Tahoma" w:hAnsi="Tahoma" w:cs="Tahoma"/>
          <w:szCs w:val="24"/>
        </w:rPr>
        <w:t xml:space="preserve"> </w:t>
      </w:r>
      <w:r w:rsidRPr="00B65E8C">
        <w:rPr>
          <w:rFonts w:ascii="Tahoma" w:hAnsi="Tahoma" w:cs="Tahoma"/>
          <w:color w:val="auto"/>
        </w:rPr>
        <w:t xml:space="preserve"> comprometió gastos por  </w:t>
      </w:r>
      <w:r w:rsidR="00E111B6">
        <w:rPr>
          <w:rFonts w:ascii="Tahoma" w:hAnsi="Tahoma" w:cs="Tahoma"/>
          <w:color w:val="auto"/>
        </w:rPr>
        <w:t>la suma</w:t>
      </w:r>
      <w:r w:rsidRPr="00B65E8C">
        <w:rPr>
          <w:rFonts w:ascii="Tahoma" w:hAnsi="Tahoma" w:cs="Tahoma"/>
          <w:color w:val="auto"/>
        </w:rPr>
        <w:t xml:space="preserve"> de $</w:t>
      </w:r>
      <w:r w:rsidR="00EC4E41">
        <w:rPr>
          <w:rFonts w:ascii="Tahoma" w:hAnsi="Tahoma" w:cs="Tahoma"/>
          <w:color w:val="auto"/>
        </w:rPr>
        <w:t>8.950.668.661.oo</w:t>
      </w:r>
      <w:r w:rsidR="00264A57">
        <w:rPr>
          <w:rFonts w:ascii="Tahoma" w:hAnsi="Tahoma" w:cs="Tahoma"/>
          <w:color w:val="auto"/>
        </w:rPr>
        <w:t xml:space="preserve"> millones</w:t>
      </w:r>
      <w:r w:rsidR="00E111B6">
        <w:rPr>
          <w:rFonts w:ascii="Tahoma" w:hAnsi="Tahoma" w:cs="Tahoma"/>
          <w:color w:val="auto"/>
        </w:rPr>
        <w:t xml:space="preserve">, </w:t>
      </w:r>
      <w:r w:rsidR="006C7116">
        <w:rPr>
          <w:rFonts w:ascii="Tahoma" w:hAnsi="Tahoma" w:cs="Tahoma"/>
          <w:color w:val="auto"/>
        </w:rPr>
        <w:t xml:space="preserve"> </w:t>
      </w:r>
      <w:r w:rsidRPr="00B65E8C">
        <w:rPr>
          <w:rFonts w:ascii="Tahoma" w:hAnsi="Tahoma" w:cs="Tahoma"/>
          <w:bCs/>
          <w:color w:val="auto"/>
        </w:rPr>
        <w:t>distribuidos entre Gastos de Funcionamiento por $</w:t>
      </w:r>
      <w:r w:rsidR="006A72BA">
        <w:rPr>
          <w:rFonts w:ascii="Tahoma" w:hAnsi="Tahoma" w:cs="Tahoma"/>
          <w:bCs/>
          <w:color w:val="auto"/>
        </w:rPr>
        <w:t>1.9</w:t>
      </w:r>
      <w:r w:rsidR="00EC4E41">
        <w:rPr>
          <w:rFonts w:ascii="Tahoma" w:hAnsi="Tahoma" w:cs="Tahoma"/>
          <w:bCs/>
          <w:color w:val="auto"/>
        </w:rPr>
        <w:t>86</w:t>
      </w:r>
      <w:r w:rsidR="00264A57">
        <w:rPr>
          <w:rFonts w:ascii="Tahoma" w:hAnsi="Tahoma" w:cs="Tahoma"/>
          <w:bCs/>
          <w:color w:val="auto"/>
        </w:rPr>
        <w:t xml:space="preserve"> millones</w:t>
      </w:r>
      <w:r w:rsidR="006A72BA">
        <w:rPr>
          <w:rFonts w:ascii="Tahoma" w:hAnsi="Tahoma" w:cs="Tahoma"/>
          <w:bCs/>
          <w:color w:val="auto"/>
        </w:rPr>
        <w:t>,</w:t>
      </w:r>
      <w:r w:rsidRPr="00B65E8C">
        <w:rPr>
          <w:rFonts w:ascii="Tahoma" w:hAnsi="Tahoma" w:cs="Tahoma"/>
          <w:bCs/>
          <w:color w:val="auto"/>
        </w:rPr>
        <w:t xml:space="preserve"> e Inversión </w:t>
      </w:r>
      <w:r w:rsidR="009C7A81">
        <w:rPr>
          <w:rFonts w:ascii="Tahoma" w:hAnsi="Tahoma" w:cs="Tahoma"/>
          <w:bCs/>
          <w:color w:val="auto"/>
        </w:rPr>
        <w:t xml:space="preserve">en la suma </w:t>
      </w:r>
      <w:r w:rsidRPr="00B65E8C">
        <w:rPr>
          <w:rFonts w:ascii="Tahoma" w:hAnsi="Tahoma" w:cs="Tahoma"/>
          <w:bCs/>
          <w:color w:val="auto"/>
        </w:rPr>
        <w:t>de $</w:t>
      </w:r>
      <w:r w:rsidR="00EC4E41">
        <w:rPr>
          <w:rFonts w:ascii="Tahoma" w:hAnsi="Tahoma" w:cs="Tahoma"/>
          <w:bCs/>
          <w:color w:val="auto"/>
        </w:rPr>
        <w:t>6.914</w:t>
      </w:r>
      <w:r w:rsidR="00264A57">
        <w:rPr>
          <w:rFonts w:ascii="Tahoma" w:hAnsi="Tahoma" w:cs="Tahoma"/>
          <w:bCs/>
          <w:color w:val="auto"/>
        </w:rPr>
        <w:t xml:space="preserve"> millones</w:t>
      </w:r>
      <w:r w:rsidR="00EA27E3">
        <w:rPr>
          <w:rFonts w:ascii="Tahoma" w:hAnsi="Tahoma" w:cs="Tahoma"/>
          <w:bCs/>
          <w:color w:val="auto"/>
        </w:rPr>
        <w:t xml:space="preserve"> y deuda Pública 50 millones</w:t>
      </w:r>
      <w:r w:rsidR="006A72BA">
        <w:rPr>
          <w:rFonts w:ascii="Tahoma" w:hAnsi="Tahoma" w:cs="Tahoma"/>
          <w:bCs/>
          <w:color w:val="auto"/>
        </w:rPr>
        <w:t>.</w:t>
      </w:r>
      <w:r w:rsidR="00C01693">
        <w:rPr>
          <w:rFonts w:ascii="Tahoma" w:hAnsi="Tahoma" w:cs="Tahoma"/>
          <w:bCs/>
          <w:color w:val="auto"/>
        </w:rPr>
        <w:t xml:space="preserve">  </w:t>
      </w:r>
      <w:r w:rsidR="003A4812">
        <w:rPr>
          <w:rFonts w:ascii="Tahoma" w:hAnsi="Tahoma" w:cs="Tahoma"/>
          <w:bCs/>
          <w:color w:val="auto"/>
        </w:rPr>
        <w:t>V</w:t>
      </w:r>
      <w:r w:rsidR="004F38FE">
        <w:rPr>
          <w:rFonts w:ascii="Tahoma" w:hAnsi="Tahoma" w:cs="Tahoma"/>
          <w:bCs/>
          <w:color w:val="auto"/>
        </w:rPr>
        <w:t>er tabla.</w:t>
      </w:r>
    </w:p>
    <w:p w:rsidR="004F38FE" w:rsidRDefault="00EA27E3" w:rsidP="008C11BF">
      <w:pPr>
        <w:spacing w:before="0" w:after="0"/>
        <w:jc w:val="center"/>
        <w:rPr>
          <w:rFonts w:ascii="Tahoma" w:hAnsi="Tahoma" w:cs="Tahoma"/>
          <w:bCs/>
          <w:color w:val="auto"/>
        </w:rPr>
      </w:pPr>
      <w:r w:rsidRPr="00EA27E3">
        <w:rPr>
          <w:noProof/>
        </w:rPr>
        <w:drawing>
          <wp:inline distT="0" distB="0" distL="0" distR="0" wp14:anchorId="4C2A4435" wp14:editId="0C878C35">
            <wp:extent cx="5166360" cy="1630680"/>
            <wp:effectExtent l="0" t="0" r="0" b="762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166808" cy="1630821"/>
                    </a:xfrm>
                    <a:prstGeom prst="rect">
                      <a:avLst/>
                    </a:prstGeom>
                  </pic:spPr>
                </pic:pic>
              </a:graphicData>
            </a:graphic>
          </wp:inline>
        </w:drawing>
      </w:r>
    </w:p>
    <w:p w:rsidR="00C01693" w:rsidRPr="00565F73" w:rsidRDefault="00C01693" w:rsidP="00C01693">
      <w:pPr>
        <w:spacing w:before="0" w:after="0"/>
        <w:jc w:val="both"/>
        <w:rPr>
          <w:rFonts w:ascii="Tahoma" w:hAnsi="Tahoma" w:cs="Tahoma"/>
          <w:bCs/>
          <w:color w:val="auto"/>
          <w:sz w:val="14"/>
        </w:rPr>
      </w:pPr>
    </w:p>
    <w:p w:rsidR="005D655F" w:rsidRDefault="005D655F" w:rsidP="001D6862">
      <w:pPr>
        <w:spacing w:before="0" w:after="0"/>
        <w:jc w:val="both"/>
        <w:rPr>
          <w:rFonts w:ascii="Tahoma" w:hAnsi="Tahoma" w:cs="Tahoma"/>
          <w:bCs/>
          <w:color w:val="auto"/>
        </w:rPr>
      </w:pPr>
    </w:p>
    <w:p w:rsidR="00524E1D" w:rsidRPr="00E924E2" w:rsidRDefault="005D655F" w:rsidP="001D6862">
      <w:pPr>
        <w:spacing w:before="0" w:after="0"/>
        <w:jc w:val="center"/>
        <w:rPr>
          <w:rFonts w:ascii="Tahoma" w:hAnsi="Tahoma" w:cs="Tahoma"/>
          <w:b/>
        </w:rPr>
      </w:pPr>
      <w:r w:rsidRPr="00741448">
        <w:rPr>
          <w:rFonts w:ascii="Tahoma" w:hAnsi="Tahoma" w:cs="Tahoma"/>
          <w:b/>
        </w:rPr>
        <w:lastRenderedPageBreak/>
        <w:t>C</w:t>
      </w:r>
      <w:r w:rsidR="00524E1D" w:rsidRPr="00741448">
        <w:rPr>
          <w:rFonts w:ascii="Tahoma" w:hAnsi="Tahoma" w:cs="Tahoma"/>
          <w:b/>
        </w:rPr>
        <w:t>APITULO 3</w:t>
      </w:r>
    </w:p>
    <w:p w:rsidR="00524E1D" w:rsidRPr="00E924E2" w:rsidRDefault="00524E1D" w:rsidP="001D6862">
      <w:pPr>
        <w:spacing w:before="0" w:after="0"/>
        <w:rPr>
          <w:rFonts w:ascii="Tahoma" w:hAnsi="Tahoma" w:cs="Tahoma"/>
          <w:b/>
        </w:rPr>
      </w:pPr>
    </w:p>
    <w:p w:rsidR="00524E1D" w:rsidRDefault="00524E1D" w:rsidP="001D6862">
      <w:pPr>
        <w:spacing w:before="0" w:after="0"/>
        <w:jc w:val="both"/>
        <w:rPr>
          <w:rFonts w:ascii="Tahoma" w:hAnsi="Tahoma" w:cs="Tahoma"/>
          <w:b/>
        </w:rPr>
      </w:pPr>
      <w:r w:rsidRPr="00E924E2">
        <w:rPr>
          <w:rFonts w:ascii="Tahoma" w:hAnsi="Tahoma" w:cs="Tahoma"/>
          <w:b/>
        </w:rPr>
        <w:t>VIABILDIAD FINANCIERA</w:t>
      </w:r>
    </w:p>
    <w:p w:rsidR="00EE23CA" w:rsidRDefault="00EE23CA" w:rsidP="00E56795">
      <w:pPr>
        <w:spacing w:before="0" w:after="0"/>
        <w:jc w:val="both"/>
      </w:pPr>
    </w:p>
    <w:p w:rsidR="00E56795" w:rsidRPr="00741448" w:rsidRDefault="00B24EC6" w:rsidP="00E56795">
      <w:pPr>
        <w:spacing w:before="0" w:after="0"/>
        <w:jc w:val="both"/>
      </w:pPr>
      <w:r>
        <w:t xml:space="preserve">El Municipio de </w:t>
      </w:r>
      <w:r w:rsidR="00B76887">
        <w:rPr>
          <w:rFonts w:ascii="Tahoma" w:hAnsi="Tahoma" w:cs="Tahoma"/>
          <w:szCs w:val="24"/>
        </w:rPr>
        <w:t>A</w:t>
      </w:r>
      <w:r w:rsidR="00EA27E3">
        <w:rPr>
          <w:rFonts w:ascii="Tahoma" w:hAnsi="Tahoma" w:cs="Tahoma"/>
          <w:szCs w:val="24"/>
        </w:rPr>
        <w:t>mbalema</w:t>
      </w:r>
      <w:r w:rsidR="00C47D9E">
        <w:t xml:space="preserve"> está clasificado en Sexta (6) categoría y  el límite de los gastos de funcionamiento como proporción de sus ingresos corrientes de libre destinación es hasta un 80%, donde los  Gastos de funcionamiento no podrán superar el límite como proporción a sus ingresos corrientes de libre destinación</w:t>
      </w:r>
      <w:r w:rsidR="00E56795">
        <w:t xml:space="preserve"> </w:t>
      </w:r>
      <w:r w:rsidR="00E56795" w:rsidRPr="00741448">
        <w:t xml:space="preserve">según lo establecido en la Ley 617 de 2000.  </w:t>
      </w:r>
    </w:p>
    <w:p w:rsidR="00C47D9E" w:rsidRPr="00E924E2" w:rsidRDefault="00C47D9E" w:rsidP="00C47D9E">
      <w:pPr>
        <w:spacing w:before="0" w:after="0"/>
        <w:jc w:val="both"/>
        <w:rPr>
          <w:rFonts w:ascii="Tahoma" w:hAnsi="Tahoma" w:cs="Tahoma"/>
          <w:b/>
        </w:rPr>
      </w:pPr>
    </w:p>
    <w:p w:rsidR="00524E1D" w:rsidRPr="00E924E2" w:rsidRDefault="00524E1D" w:rsidP="001D6862">
      <w:pPr>
        <w:pStyle w:val="NormalWeb"/>
        <w:spacing w:before="0" w:beforeAutospacing="0" w:after="0" w:afterAutospacing="0"/>
        <w:jc w:val="both"/>
        <w:rPr>
          <w:rFonts w:ascii="Tahoma" w:hAnsi="Tahoma" w:cs="Tahoma"/>
          <w:b/>
          <w:sz w:val="22"/>
          <w:szCs w:val="22"/>
        </w:rPr>
      </w:pPr>
      <w:r w:rsidRPr="00E924E2">
        <w:rPr>
          <w:rFonts w:ascii="Tahoma" w:hAnsi="Tahoma" w:cs="Tahoma"/>
          <w:b/>
          <w:bCs/>
          <w:sz w:val="22"/>
          <w:szCs w:val="22"/>
        </w:rPr>
        <w:t>3.</w:t>
      </w:r>
      <w:r w:rsidR="00E56795">
        <w:rPr>
          <w:rFonts w:ascii="Tahoma" w:hAnsi="Tahoma" w:cs="Tahoma"/>
          <w:b/>
          <w:bCs/>
          <w:sz w:val="22"/>
          <w:szCs w:val="22"/>
        </w:rPr>
        <w:t>1</w:t>
      </w:r>
      <w:r w:rsidRPr="00E924E2">
        <w:rPr>
          <w:rFonts w:ascii="Tahoma" w:hAnsi="Tahoma" w:cs="Tahoma"/>
          <w:b/>
          <w:bCs/>
          <w:sz w:val="22"/>
          <w:szCs w:val="22"/>
        </w:rPr>
        <w:t xml:space="preserve">  </w:t>
      </w:r>
      <w:r w:rsidR="00741448">
        <w:rPr>
          <w:rFonts w:ascii="Tahoma" w:hAnsi="Tahoma" w:cs="Tahoma"/>
          <w:b/>
          <w:bCs/>
          <w:sz w:val="22"/>
          <w:szCs w:val="22"/>
        </w:rPr>
        <w:t>Indicador de Gastos de</w:t>
      </w:r>
      <w:r w:rsidRPr="00E924E2">
        <w:rPr>
          <w:rFonts w:ascii="Tahoma" w:hAnsi="Tahoma" w:cs="Tahoma"/>
          <w:b/>
          <w:sz w:val="22"/>
          <w:szCs w:val="22"/>
        </w:rPr>
        <w:t xml:space="preserve"> Funcionamiento</w:t>
      </w:r>
      <w:r w:rsidR="00741448">
        <w:rPr>
          <w:rFonts w:ascii="Tahoma" w:hAnsi="Tahoma" w:cs="Tahoma"/>
          <w:b/>
          <w:sz w:val="22"/>
          <w:szCs w:val="22"/>
        </w:rPr>
        <w:t xml:space="preserve">  VS  I.C.L.D</w:t>
      </w:r>
    </w:p>
    <w:p w:rsidR="00EE23CA" w:rsidRDefault="00EE23CA" w:rsidP="00741448">
      <w:pPr>
        <w:pStyle w:val="NormalWeb"/>
        <w:spacing w:before="0" w:beforeAutospacing="0" w:after="0" w:afterAutospacing="0"/>
        <w:rPr>
          <w:rFonts w:ascii="Tahoma" w:hAnsi="Tahoma" w:cs="Tahoma"/>
          <w:b/>
          <w:sz w:val="22"/>
          <w:szCs w:val="22"/>
        </w:rPr>
      </w:pPr>
    </w:p>
    <w:p w:rsidR="00524E1D" w:rsidRDefault="00524E1D" w:rsidP="00741448">
      <w:pPr>
        <w:pStyle w:val="NormalWeb"/>
        <w:spacing w:before="0" w:beforeAutospacing="0" w:after="0" w:afterAutospacing="0"/>
        <w:rPr>
          <w:rFonts w:ascii="Tahoma" w:hAnsi="Tahoma" w:cs="Tahoma"/>
          <w:b/>
          <w:sz w:val="22"/>
          <w:szCs w:val="22"/>
        </w:rPr>
      </w:pPr>
      <w:r w:rsidRPr="00E924E2">
        <w:rPr>
          <w:rFonts w:ascii="Tahoma" w:hAnsi="Tahoma" w:cs="Tahoma"/>
          <w:b/>
          <w:sz w:val="22"/>
          <w:szCs w:val="22"/>
        </w:rPr>
        <w:t xml:space="preserve">Gastos de Funcionamiento / Ingresos Corriente Libre Destinación </w:t>
      </w:r>
    </w:p>
    <w:p w:rsidR="00D8313F" w:rsidRDefault="00D8313F" w:rsidP="00741448">
      <w:pPr>
        <w:pStyle w:val="NormalWeb"/>
        <w:spacing w:before="0" w:beforeAutospacing="0" w:after="0" w:afterAutospacing="0"/>
        <w:rPr>
          <w:rFonts w:ascii="Tahoma" w:hAnsi="Tahoma" w:cs="Tahoma"/>
          <w:b/>
          <w:sz w:val="22"/>
          <w:szCs w:val="22"/>
        </w:rPr>
      </w:pPr>
    </w:p>
    <w:p w:rsidR="00D8313F" w:rsidRPr="00D8313F" w:rsidRDefault="00D8313F" w:rsidP="00D8313F">
      <w:pPr>
        <w:spacing w:before="0" w:after="0"/>
        <w:jc w:val="center"/>
        <w:rPr>
          <w:rFonts w:eastAsia="Times New Roman"/>
          <w:color w:val="auto"/>
          <w:sz w:val="20"/>
          <w:szCs w:val="20"/>
        </w:rPr>
      </w:pPr>
      <w:r w:rsidRPr="00D8313F">
        <w:rPr>
          <w:rFonts w:eastAsia="Times New Roman"/>
          <w:b/>
          <w:bCs/>
          <w:color w:val="auto"/>
          <w:sz w:val="20"/>
          <w:szCs w:val="20"/>
        </w:rPr>
        <w:t>CONTRALORÍA GENERAL DE LA REPÚBLICA</w:t>
      </w:r>
    </w:p>
    <w:p w:rsidR="00D8313F" w:rsidRPr="00D8313F" w:rsidRDefault="00D8313F" w:rsidP="00D8313F">
      <w:pPr>
        <w:spacing w:before="0" w:after="0"/>
        <w:jc w:val="center"/>
        <w:rPr>
          <w:rFonts w:eastAsia="Times New Roman"/>
          <w:color w:val="auto"/>
          <w:sz w:val="20"/>
          <w:szCs w:val="20"/>
        </w:rPr>
      </w:pPr>
      <w:r w:rsidRPr="00D8313F">
        <w:rPr>
          <w:rFonts w:eastAsia="Times New Roman"/>
          <w:b/>
          <w:bCs/>
          <w:color w:val="auto"/>
          <w:sz w:val="20"/>
          <w:szCs w:val="20"/>
        </w:rPr>
        <w:t>CONTRALORÍA DELEGADA PARA ECONOMÍA Y FINANZAS PÚBLICAS</w:t>
      </w:r>
    </w:p>
    <w:p w:rsidR="00D8313F" w:rsidRPr="00D8313F" w:rsidRDefault="00D8313F" w:rsidP="00D8313F">
      <w:pPr>
        <w:spacing w:before="0" w:after="0"/>
        <w:jc w:val="center"/>
        <w:rPr>
          <w:rFonts w:eastAsia="Times New Roman"/>
          <w:color w:val="auto"/>
          <w:sz w:val="20"/>
          <w:szCs w:val="20"/>
        </w:rPr>
      </w:pPr>
      <w:r w:rsidRPr="00D8313F">
        <w:rPr>
          <w:rFonts w:eastAsia="Times New Roman"/>
          <w:b/>
          <w:bCs/>
          <w:color w:val="auto"/>
          <w:sz w:val="20"/>
          <w:szCs w:val="20"/>
        </w:rPr>
        <w:t>DIRECCIÓN DE CUENTAS Y ESTADÍSTICAS FISCALES</w:t>
      </w:r>
    </w:p>
    <w:p w:rsidR="00D8313F" w:rsidRPr="00D8313F" w:rsidRDefault="007B0051" w:rsidP="00D8313F">
      <w:pPr>
        <w:spacing w:before="0" w:after="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v:rect id="_x0000_i1025" style="width:0;height:1.2pt" o:hralign="center" o:hrstd="t" o:hr="t" fillcolor="#a0a0a0" stroked="f"/>
        </w:pict>
      </w:r>
    </w:p>
    <w:p w:rsidR="00D8313F" w:rsidRPr="00D8313F" w:rsidRDefault="00D8313F" w:rsidP="00D8313F">
      <w:pPr>
        <w:spacing w:before="0" w:after="0"/>
        <w:jc w:val="center"/>
        <w:rPr>
          <w:rFonts w:eastAsia="Times New Roman"/>
          <w:color w:val="auto"/>
          <w:sz w:val="20"/>
          <w:szCs w:val="20"/>
        </w:rPr>
      </w:pPr>
      <w:r w:rsidRPr="00D8313F">
        <w:rPr>
          <w:rFonts w:eastAsia="Times New Roman"/>
          <w:b/>
          <w:bCs/>
          <w:color w:val="auto"/>
          <w:sz w:val="20"/>
          <w:szCs w:val="20"/>
        </w:rPr>
        <w:t>CONSULTA DATOS CERTIFICACIÓN LEY 617/00</w:t>
      </w:r>
    </w:p>
    <w:tbl>
      <w:tblPr>
        <w:tblW w:w="8400" w:type="dxa"/>
        <w:jc w:val="center"/>
        <w:tblCellSpacing w:w="15" w:type="dxa"/>
        <w:tblCellMar>
          <w:top w:w="15" w:type="dxa"/>
          <w:left w:w="15" w:type="dxa"/>
          <w:bottom w:w="15" w:type="dxa"/>
          <w:right w:w="15" w:type="dxa"/>
        </w:tblCellMar>
        <w:tblLook w:val="04A0" w:firstRow="1" w:lastRow="0" w:firstColumn="1" w:lastColumn="0" w:noHBand="0" w:noVBand="1"/>
      </w:tblPr>
      <w:tblGrid>
        <w:gridCol w:w="8536"/>
      </w:tblGrid>
      <w:tr w:rsidR="00D8313F" w:rsidRPr="00D8313F" w:rsidTr="00D8313F">
        <w:trPr>
          <w:tblCellSpacing w:w="15" w:type="dxa"/>
          <w:jc w:val="center"/>
        </w:trPr>
        <w:tc>
          <w:tcPr>
            <w:tcW w:w="0" w:type="auto"/>
            <w:shd w:val="clear" w:color="auto" w:fill="EAF5FF"/>
            <w:vAlign w:val="center"/>
            <w:hideMark/>
          </w:tcPr>
          <w:p w:rsidR="00D8313F" w:rsidRPr="00D8313F" w:rsidRDefault="00D8313F" w:rsidP="00D8313F">
            <w:pPr>
              <w:spacing w:before="0" w:after="0"/>
              <w:rPr>
                <w:rFonts w:eastAsia="Times New Roman"/>
                <w:color w:val="auto"/>
                <w:sz w:val="18"/>
                <w:szCs w:val="18"/>
              </w:rPr>
            </w:pPr>
          </w:p>
        </w:tc>
      </w:tr>
      <w:tr w:rsidR="00D8313F" w:rsidRPr="00D8313F" w:rsidTr="00D8313F">
        <w:trPr>
          <w:tblCellSpacing w:w="15" w:type="dxa"/>
          <w:jc w:val="center"/>
        </w:trPr>
        <w:tc>
          <w:tcPr>
            <w:tcW w:w="0" w:type="auto"/>
            <w:shd w:val="clear" w:color="auto" w:fill="EAF5FF"/>
            <w:vAlign w:val="center"/>
            <w:hideMark/>
          </w:tcPr>
          <w:p w:rsidR="00D8313F" w:rsidRPr="00D8313F" w:rsidRDefault="00D8313F" w:rsidP="00D8313F">
            <w:pPr>
              <w:spacing w:before="0" w:after="0"/>
              <w:rPr>
                <w:rFonts w:eastAsia="Times New Roman"/>
                <w:color w:val="auto"/>
                <w:sz w:val="18"/>
                <w:szCs w:val="18"/>
              </w:rPr>
            </w:pPr>
          </w:p>
        </w:tc>
      </w:tr>
      <w:tr w:rsidR="00D8313F" w:rsidRPr="00D8313F" w:rsidTr="00D8313F">
        <w:trPr>
          <w:tblCellSpacing w:w="15" w:type="dxa"/>
          <w:jc w:val="center"/>
        </w:trPr>
        <w:tc>
          <w:tcPr>
            <w:tcW w:w="0" w:type="auto"/>
            <w:shd w:val="clear" w:color="auto" w:fill="EAF5FF"/>
            <w:vAlign w:val="center"/>
            <w:hideMark/>
          </w:tcPr>
          <w:p w:rsidR="00D8313F" w:rsidRPr="00D8313F" w:rsidRDefault="00D8313F" w:rsidP="00D8313F">
            <w:pPr>
              <w:spacing w:before="0" w:after="0"/>
              <w:rPr>
                <w:rFonts w:eastAsia="Times New Roman"/>
                <w:color w:val="auto"/>
                <w:sz w:val="18"/>
                <w:szCs w:val="18"/>
              </w:rPr>
            </w:pPr>
          </w:p>
        </w:tc>
      </w:tr>
      <w:tr w:rsidR="00D8313F" w:rsidRPr="00D8313F" w:rsidTr="00D8313F">
        <w:trPr>
          <w:tblCellSpacing w:w="15" w:type="dxa"/>
          <w:jc w:val="center"/>
        </w:trPr>
        <w:tc>
          <w:tcPr>
            <w:tcW w:w="0" w:type="auto"/>
            <w:shd w:val="clear" w:color="auto" w:fill="EAF5FF"/>
            <w:vAlign w:val="center"/>
            <w:hideMark/>
          </w:tcPr>
          <w:p w:rsidR="00D8313F" w:rsidRPr="00D8313F" w:rsidRDefault="00D8313F" w:rsidP="00D8313F">
            <w:pPr>
              <w:spacing w:before="0" w:after="0"/>
              <w:rPr>
                <w:rFonts w:eastAsia="Times New Roman"/>
                <w:color w:val="auto"/>
                <w:sz w:val="18"/>
                <w:szCs w:val="18"/>
              </w:rPr>
            </w:pPr>
          </w:p>
        </w:tc>
      </w:tr>
      <w:tr w:rsidR="00D8313F" w:rsidRPr="00D8313F" w:rsidTr="00D8313F">
        <w:trPr>
          <w:tblCellSpacing w:w="15" w:type="dxa"/>
          <w:jc w:val="center"/>
        </w:trPr>
        <w:tc>
          <w:tcPr>
            <w:tcW w:w="0" w:type="auto"/>
            <w:shd w:val="clear" w:color="auto" w:fill="EAF5FF"/>
            <w:vAlign w:val="center"/>
            <w:hideMark/>
          </w:tcPr>
          <w:tbl>
            <w:tblPr>
              <w:tblW w:w="8400" w:type="dxa"/>
              <w:jc w:val="center"/>
              <w:tblCellSpacing w:w="0"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4020"/>
              <w:gridCol w:w="4380"/>
            </w:tblGrid>
            <w:tr w:rsidR="00D8313F" w:rsidRPr="00D8313F">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Departamento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TOLIMA</w:t>
                  </w:r>
                </w:p>
              </w:tc>
            </w:tr>
            <w:tr w:rsidR="00D8313F" w:rsidRPr="00D8313F">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Nombre Municipio o Departamento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213073030 - AMBALEMA</w:t>
                  </w:r>
                </w:p>
              </w:tc>
            </w:tr>
            <w:tr w:rsidR="00D8313F" w:rsidRPr="00D8313F">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Vigencia</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2015</w:t>
                  </w:r>
                </w:p>
              </w:tc>
            </w:tr>
            <w:tr w:rsidR="00D8313F" w:rsidRPr="00D8313F">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Categoría</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Sexta</w:t>
                  </w:r>
                </w:p>
              </w:tc>
            </w:tr>
            <w:tr w:rsidR="00D8313F" w:rsidRPr="00D8313F">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Límite del Gasto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80%</w:t>
                  </w:r>
                </w:p>
              </w:tc>
            </w:tr>
            <w:tr w:rsidR="00D8313F" w:rsidRPr="00D8313F">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Descripción sobre la Certificación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Procede la Certificación de la Entidad.</w:t>
                  </w:r>
                </w:p>
              </w:tc>
            </w:tr>
          </w:tbl>
          <w:p w:rsidR="00D8313F" w:rsidRPr="00D8313F" w:rsidRDefault="00D8313F" w:rsidP="00D8313F">
            <w:pPr>
              <w:spacing w:before="0" w:after="0"/>
              <w:jc w:val="center"/>
              <w:rPr>
                <w:rFonts w:eastAsia="Times New Roman"/>
                <w:sz w:val="18"/>
                <w:szCs w:val="18"/>
              </w:rPr>
            </w:pPr>
          </w:p>
        </w:tc>
      </w:tr>
      <w:tr w:rsidR="00D8313F" w:rsidRPr="00D8313F" w:rsidTr="00D8313F">
        <w:trPr>
          <w:tblCellSpacing w:w="15" w:type="dxa"/>
          <w:jc w:val="center"/>
        </w:trPr>
        <w:tc>
          <w:tcPr>
            <w:tcW w:w="0" w:type="auto"/>
            <w:shd w:val="clear" w:color="auto" w:fill="EAF5FF"/>
            <w:vAlign w:val="center"/>
            <w:hideMark/>
          </w:tcPr>
          <w:p w:rsidR="00D8313F" w:rsidRPr="00D8313F" w:rsidRDefault="00D8313F" w:rsidP="00D8313F">
            <w:pPr>
              <w:spacing w:before="0" w:after="0"/>
              <w:jc w:val="center"/>
              <w:rPr>
                <w:rFonts w:eastAsia="Times New Roman"/>
                <w:sz w:val="18"/>
                <w:szCs w:val="18"/>
              </w:rPr>
            </w:pPr>
            <w:r w:rsidRPr="00D8313F">
              <w:rPr>
                <w:rFonts w:eastAsia="Times New Roman"/>
                <w:b/>
                <w:bCs/>
                <w:sz w:val="18"/>
                <w:szCs w:val="18"/>
              </w:rPr>
              <w:t>Ingresos Corrientes de Libre Destinación (ICLD)</w:t>
            </w:r>
          </w:p>
          <w:tbl>
            <w:tblPr>
              <w:tblW w:w="8400" w:type="dxa"/>
              <w:jc w:val="center"/>
              <w:tblCellSpacing w:w="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90"/>
              <w:gridCol w:w="4542"/>
              <w:gridCol w:w="1968"/>
            </w:tblGrid>
            <w:tr w:rsidR="00D8313F" w:rsidRPr="00D8313F">
              <w:trPr>
                <w:gridAfter w:val="2"/>
                <w:wAfter w:w="5982" w:type="dxa"/>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8313F" w:rsidRPr="00D8313F" w:rsidRDefault="00D8313F" w:rsidP="00D8313F">
                  <w:pPr>
                    <w:spacing w:before="0" w:after="0"/>
                    <w:rPr>
                      <w:rFonts w:eastAsia="Times New Roman"/>
                      <w:color w:val="auto"/>
                      <w:sz w:val="18"/>
                      <w:szCs w:val="18"/>
                    </w:rPr>
                  </w:pPr>
                </w:p>
              </w:tc>
            </w:tr>
            <w:tr w:rsidR="00D8313F" w:rsidRPr="00D8313F">
              <w:trPr>
                <w:tblCellSpacing w:w="6" w:type="dxa"/>
                <w:jc w:val="center"/>
              </w:trPr>
              <w:tc>
                <w:tcPr>
                  <w:tcW w:w="1200" w:type="dxa"/>
                  <w:tcBorders>
                    <w:top w:val="outset" w:sz="6" w:space="0" w:color="auto"/>
                    <w:left w:val="outset" w:sz="6" w:space="0" w:color="auto"/>
                    <w:bottom w:val="outset" w:sz="6" w:space="0" w:color="auto"/>
                    <w:right w:val="outset" w:sz="6" w:space="0" w:color="auto"/>
                  </w:tcBorders>
                  <w:vAlign w:val="center"/>
                  <w:hideMark/>
                </w:tcPr>
                <w:p w:rsidR="00D8313F" w:rsidRPr="00D8313F" w:rsidRDefault="00D8313F" w:rsidP="00D8313F">
                  <w:pPr>
                    <w:spacing w:before="0" w:after="0"/>
                    <w:jc w:val="center"/>
                    <w:rPr>
                      <w:rFonts w:eastAsia="Times New Roman"/>
                      <w:color w:val="auto"/>
                      <w:sz w:val="18"/>
                      <w:szCs w:val="18"/>
                    </w:rPr>
                  </w:pPr>
                  <w:r w:rsidRPr="00D8313F">
                    <w:rPr>
                      <w:rFonts w:eastAsia="Times New Roman"/>
                      <w:b/>
                      <w:bCs/>
                      <w:color w:val="auto"/>
                      <w:sz w:val="18"/>
                      <w:szCs w:val="18"/>
                    </w:rPr>
                    <w:t>Concepto</w:t>
                  </w:r>
                </w:p>
              </w:tc>
              <w:tc>
                <w:tcPr>
                  <w:tcW w:w="3600" w:type="dxa"/>
                  <w:tcBorders>
                    <w:top w:val="outset" w:sz="6" w:space="0" w:color="auto"/>
                    <w:left w:val="outset" w:sz="6" w:space="0" w:color="auto"/>
                    <w:bottom w:val="outset" w:sz="6" w:space="0" w:color="auto"/>
                    <w:right w:val="outset" w:sz="6" w:space="0" w:color="auto"/>
                  </w:tcBorders>
                  <w:vAlign w:val="center"/>
                  <w:hideMark/>
                </w:tcPr>
                <w:p w:rsidR="00D8313F" w:rsidRPr="00D8313F" w:rsidRDefault="00D8313F" w:rsidP="00D8313F">
                  <w:pPr>
                    <w:spacing w:before="0" w:after="0"/>
                    <w:jc w:val="center"/>
                    <w:rPr>
                      <w:rFonts w:eastAsia="Times New Roman"/>
                      <w:color w:val="auto"/>
                      <w:sz w:val="18"/>
                      <w:szCs w:val="18"/>
                    </w:rPr>
                  </w:pPr>
                  <w:r w:rsidRPr="00D8313F">
                    <w:rPr>
                      <w:rFonts w:eastAsia="Times New Roman"/>
                      <w:b/>
                      <w:bCs/>
                      <w:color w:val="auto"/>
                      <w:sz w:val="18"/>
                      <w:szCs w:val="18"/>
                    </w:rPr>
                    <w:t>Descripción</w:t>
                  </w:r>
                </w:p>
              </w:tc>
              <w:tc>
                <w:tcPr>
                  <w:tcW w:w="2400" w:type="dxa"/>
                  <w:tcBorders>
                    <w:top w:val="outset" w:sz="6" w:space="0" w:color="auto"/>
                    <w:left w:val="outset" w:sz="6" w:space="0" w:color="auto"/>
                    <w:bottom w:val="outset" w:sz="6" w:space="0" w:color="auto"/>
                    <w:right w:val="outset" w:sz="6" w:space="0" w:color="auto"/>
                  </w:tcBorders>
                  <w:vAlign w:val="center"/>
                  <w:hideMark/>
                </w:tcPr>
                <w:p w:rsidR="00D8313F" w:rsidRPr="00D8313F" w:rsidRDefault="00D8313F" w:rsidP="00D8313F">
                  <w:pPr>
                    <w:spacing w:before="0" w:after="0"/>
                    <w:jc w:val="center"/>
                    <w:rPr>
                      <w:rFonts w:eastAsia="Times New Roman"/>
                      <w:color w:val="auto"/>
                      <w:sz w:val="18"/>
                      <w:szCs w:val="18"/>
                    </w:rPr>
                  </w:pPr>
                  <w:r w:rsidRPr="00D8313F">
                    <w:rPr>
                      <w:rFonts w:eastAsia="Times New Roman"/>
                      <w:b/>
                      <w:bCs/>
                      <w:color w:val="auto"/>
                      <w:sz w:val="18"/>
                      <w:szCs w:val="18"/>
                    </w:rPr>
                    <w:t>Ejecución (Miles de Pesos)</w:t>
                  </w:r>
                </w:p>
              </w:tc>
            </w:tr>
            <w:tr w:rsidR="00D8313F" w:rsidRPr="00D8313F">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1.1.01.01.40</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Predial Unificado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jc w:val="right"/>
                    <w:rPr>
                      <w:rFonts w:eastAsia="Times New Roman"/>
                      <w:color w:val="auto"/>
                      <w:sz w:val="18"/>
                      <w:szCs w:val="18"/>
                    </w:rPr>
                  </w:pPr>
                  <w:r w:rsidRPr="00D8313F">
                    <w:rPr>
                      <w:rFonts w:eastAsia="Times New Roman"/>
                      <w:color w:val="auto"/>
                      <w:sz w:val="18"/>
                      <w:szCs w:val="18"/>
                    </w:rPr>
                    <w:t>564.167</w:t>
                  </w:r>
                </w:p>
              </w:tc>
            </w:tr>
            <w:tr w:rsidR="00D8313F" w:rsidRPr="00D8313F">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1.1.01.02.39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Industria y Comercio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8313F" w:rsidRPr="00D8313F" w:rsidRDefault="00D8313F" w:rsidP="00D8313F">
                  <w:pPr>
                    <w:spacing w:before="0" w:after="0"/>
                    <w:jc w:val="right"/>
                    <w:rPr>
                      <w:rFonts w:eastAsia="Times New Roman"/>
                      <w:color w:val="auto"/>
                      <w:sz w:val="18"/>
                      <w:szCs w:val="18"/>
                    </w:rPr>
                  </w:pPr>
                  <w:r w:rsidRPr="00D8313F">
                    <w:rPr>
                      <w:rFonts w:eastAsia="Times New Roman"/>
                      <w:color w:val="auto"/>
                      <w:sz w:val="18"/>
                      <w:szCs w:val="18"/>
                    </w:rPr>
                    <w:t>253.538</w:t>
                  </w:r>
                </w:p>
              </w:tc>
            </w:tr>
            <w:tr w:rsidR="00D8313F" w:rsidRPr="00D8313F">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1.1.01.02.45</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Avisos y Tableros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jc w:val="right"/>
                    <w:rPr>
                      <w:rFonts w:eastAsia="Times New Roman"/>
                      <w:color w:val="auto"/>
                      <w:sz w:val="18"/>
                      <w:szCs w:val="18"/>
                    </w:rPr>
                  </w:pPr>
                  <w:r w:rsidRPr="00D8313F">
                    <w:rPr>
                      <w:rFonts w:eastAsia="Times New Roman"/>
                      <w:color w:val="auto"/>
                      <w:sz w:val="18"/>
                      <w:szCs w:val="18"/>
                    </w:rPr>
                    <w:t>22.550</w:t>
                  </w:r>
                </w:p>
              </w:tc>
            </w:tr>
            <w:tr w:rsidR="00D8313F" w:rsidRPr="00D8313F">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1.1.01.02.47</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Publicidad Exterior Visual</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8313F" w:rsidRPr="00D8313F" w:rsidRDefault="00D8313F" w:rsidP="00D8313F">
                  <w:pPr>
                    <w:spacing w:before="0" w:after="0"/>
                    <w:jc w:val="right"/>
                    <w:rPr>
                      <w:rFonts w:eastAsia="Times New Roman"/>
                      <w:color w:val="auto"/>
                      <w:sz w:val="18"/>
                      <w:szCs w:val="18"/>
                    </w:rPr>
                  </w:pPr>
                  <w:r w:rsidRPr="00D8313F">
                    <w:rPr>
                      <w:rFonts w:eastAsia="Times New Roman"/>
                      <w:color w:val="auto"/>
                      <w:sz w:val="18"/>
                      <w:szCs w:val="18"/>
                    </w:rPr>
                    <w:t>13.178</w:t>
                  </w:r>
                </w:p>
              </w:tc>
            </w:tr>
            <w:tr w:rsidR="00D8313F" w:rsidRPr="00D8313F">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1.1.01.02.51.01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rPr>
                      <w:rFonts w:eastAsia="Times New Roman"/>
                      <w:color w:val="auto"/>
                      <w:sz w:val="18"/>
                      <w:szCs w:val="18"/>
                    </w:rPr>
                  </w:pPr>
                  <w:proofErr w:type="spellStart"/>
                  <w:r w:rsidRPr="00D8313F">
                    <w:rPr>
                      <w:rFonts w:eastAsia="Times New Roman"/>
                      <w:color w:val="auto"/>
                      <w:sz w:val="18"/>
                      <w:szCs w:val="18"/>
                    </w:rPr>
                    <w:t>Espectaculos</w:t>
                  </w:r>
                  <w:proofErr w:type="spellEnd"/>
                  <w:r w:rsidRPr="00D8313F">
                    <w:rPr>
                      <w:rFonts w:eastAsia="Times New Roman"/>
                      <w:color w:val="auto"/>
                      <w:sz w:val="18"/>
                      <w:szCs w:val="18"/>
                    </w:rPr>
                    <w:t xml:space="preserve"> Públicos Libre Destinación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jc w:val="right"/>
                    <w:rPr>
                      <w:rFonts w:eastAsia="Times New Roman"/>
                      <w:color w:val="auto"/>
                      <w:sz w:val="18"/>
                      <w:szCs w:val="18"/>
                    </w:rPr>
                  </w:pPr>
                  <w:r w:rsidRPr="00D8313F">
                    <w:rPr>
                      <w:rFonts w:eastAsia="Times New Roman"/>
                      <w:color w:val="auto"/>
                      <w:sz w:val="18"/>
                      <w:szCs w:val="18"/>
                    </w:rPr>
                    <w:t>120</w:t>
                  </w:r>
                </w:p>
              </w:tc>
            </w:tr>
            <w:tr w:rsidR="00D8313F" w:rsidRPr="00D8313F">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1.1.01.02.61.01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Sobretasa Consumo Gasolina Motor Libre Destinación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8313F" w:rsidRPr="00D8313F" w:rsidRDefault="00D8313F" w:rsidP="00D8313F">
                  <w:pPr>
                    <w:spacing w:before="0" w:after="0"/>
                    <w:jc w:val="right"/>
                    <w:rPr>
                      <w:rFonts w:eastAsia="Times New Roman"/>
                      <w:color w:val="auto"/>
                      <w:sz w:val="18"/>
                      <w:szCs w:val="18"/>
                    </w:rPr>
                  </w:pPr>
                  <w:r w:rsidRPr="00D8313F">
                    <w:rPr>
                      <w:rFonts w:eastAsia="Times New Roman"/>
                      <w:color w:val="auto"/>
                      <w:sz w:val="18"/>
                      <w:szCs w:val="18"/>
                    </w:rPr>
                    <w:t>121.610</w:t>
                  </w:r>
                </w:p>
              </w:tc>
            </w:tr>
            <w:tr w:rsidR="00D8313F" w:rsidRPr="00D8313F">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1.1.01.02.65</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Alumbrado Público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jc w:val="right"/>
                    <w:rPr>
                      <w:rFonts w:eastAsia="Times New Roman"/>
                      <w:color w:val="auto"/>
                      <w:sz w:val="18"/>
                      <w:szCs w:val="18"/>
                    </w:rPr>
                  </w:pPr>
                  <w:r w:rsidRPr="00D8313F">
                    <w:rPr>
                      <w:rFonts w:eastAsia="Times New Roman"/>
                      <w:color w:val="auto"/>
                      <w:sz w:val="18"/>
                      <w:szCs w:val="18"/>
                    </w:rPr>
                    <w:t>150.566</w:t>
                  </w:r>
                </w:p>
              </w:tc>
            </w:tr>
            <w:tr w:rsidR="00D8313F" w:rsidRPr="00D8313F">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1.1.02.01.03.15</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Intereses moratorios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8313F" w:rsidRPr="00D8313F" w:rsidRDefault="00D8313F" w:rsidP="00D8313F">
                  <w:pPr>
                    <w:spacing w:before="0" w:after="0"/>
                    <w:jc w:val="right"/>
                    <w:rPr>
                      <w:rFonts w:eastAsia="Times New Roman"/>
                      <w:color w:val="auto"/>
                      <w:sz w:val="18"/>
                      <w:szCs w:val="18"/>
                    </w:rPr>
                  </w:pPr>
                  <w:r w:rsidRPr="00D8313F">
                    <w:rPr>
                      <w:rFonts w:eastAsia="Times New Roman"/>
                      <w:color w:val="auto"/>
                      <w:sz w:val="18"/>
                      <w:szCs w:val="18"/>
                    </w:rPr>
                    <w:t>57.767</w:t>
                  </w:r>
                </w:p>
              </w:tc>
            </w:tr>
            <w:tr w:rsidR="00D8313F" w:rsidRPr="00D8313F">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1.1.02.02.01.01.01.01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 xml:space="preserve">Sistema General de Participaciones Propósito General </w:t>
                  </w:r>
                  <w:r w:rsidRPr="00D8313F">
                    <w:rPr>
                      <w:rFonts w:eastAsia="Times New Roman"/>
                      <w:color w:val="auto"/>
                      <w:sz w:val="18"/>
                      <w:szCs w:val="18"/>
                    </w:rPr>
                    <w:lastRenderedPageBreak/>
                    <w:t>Libre Destinación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jc w:val="right"/>
                    <w:rPr>
                      <w:rFonts w:eastAsia="Times New Roman"/>
                      <w:color w:val="auto"/>
                      <w:sz w:val="18"/>
                      <w:szCs w:val="18"/>
                    </w:rPr>
                  </w:pPr>
                  <w:r w:rsidRPr="00D8313F">
                    <w:rPr>
                      <w:rFonts w:eastAsia="Times New Roman"/>
                      <w:color w:val="auto"/>
                      <w:sz w:val="18"/>
                      <w:szCs w:val="18"/>
                    </w:rPr>
                    <w:lastRenderedPageBreak/>
                    <w:t>899.134</w:t>
                  </w:r>
                </w:p>
              </w:tc>
            </w:tr>
            <w:tr w:rsidR="00D8313F" w:rsidRPr="00D8313F">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lastRenderedPageBreak/>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jc w:val="center"/>
                    <w:rPr>
                      <w:rFonts w:eastAsia="Times New Roman"/>
                      <w:color w:val="auto"/>
                      <w:sz w:val="18"/>
                      <w:szCs w:val="18"/>
                    </w:rPr>
                  </w:pPr>
                  <w:r w:rsidRPr="00D8313F">
                    <w:rPr>
                      <w:rFonts w:eastAsia="Times New Roman"/>
                      <w:b/>
                      <w:bCs/>
                      <w:color w:val="auto"/>
                      <w:sz w:val="18"/>
                      <w:szCs w:val="18"/>
                    </w:rPr>
                    <w:t>TOTAL 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jc w:val="right"/>
                    <w:rPr>
                      <w:rFonts w:eastAsia="Times New Roman"/>
                      <w:color w:val="auto"/>
                      <w:sz w:val="18"/>
                      <w:szCs w:val="18"/>
                    </w:rPr>
                  </w:pPr>
                  <w:r w:rsidRPr="00D8313F">
                    <w:rPr>
                      <w:rFonts w:eastAsia="Times New Roman"/>
                      <w:b/>
                      <w:bCs/>
                      <w:color w:val="auto"/>
                      <w:sz w:val="18"/>
                      <w:szCs w:val="18"/>
                    </w:rPr>
                    <w:t>2.082.630</w:t>
                  </w:r>
                </w:p>
              </w:tc>
            </w:tr>
            <w:tr w:rsidR="00D8313F" w:rsidRPr="00D8313F">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8313F" w:rsidRPr="00D8313F" w:rsidRDefault="00D8313F" w:rsidP="00D8313F">
                  <w:pPr>
                    <w:spacing w:before="0" w:after="0"/>
                    <w:jc w:val="center"/>
                    <w:rPr>
                      <w:rFonts w:eastAsia="Times New Roman"/>
                      <w:color w:val="auto"/>
                      <w:sz w:val="18"/>
                      <w:szCs w:val="18"/>
                    </w:rPr>
                  </w:pPr>
                  <w:r w:rsidRPr="00D8313F">
                    <w:rPr>
                      <w:rFonts w:eastAsia="Times New Roman"/>
                      <w:b/>
                      <w:bCs/>
                      <w:color w:val="auto"/>
                      <w:sz w:val="18"/>
                      <w:szCs w:val="18"/>
                    </w:rPr>
                    <w:t>TOTAL ICLD NETO*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8313F" w:rsidRPr="00D8313F" w:rsidRDefault="00D8313F" w:rsidP="00D8313F">
                  <w:pPr>
                    <w:spacing w:before="0" w:after="0"/>
                    <w:jc w:val="right"/>
                    <w:rPr>
                      <w:rFonts w:eastAsia="Times New Roman"/>
                      <w:color w:val="auto"/>
                      <w:sz w:val="18"/>
                      <w:szCs w:val="18"/>
                    </w:rPr>
                  </w:pPr>
                  <w:r w:rsidRPr="00D8313F">
                    <w:rPr>
                      <w:rFonts w:eastAsia="Times New Roman"/>
                      <w:b/>
                      <w:bCs/>
                      <w:color w:val="auto"/>
                      <w:sz w:val="18"/>
                      <w:szCs w:val="18"/>
                    </w:rPr>
                    <w:t>2.082.630</w:t>
                  </w:r>
                </w:p>
              </w:tc>
            </w:tr>
          </w:tbl>
          <w:p w:rsidR="00D8313F" w:rsidRPr="00D8313F" w:rsidRDefault="00D8313F" w:rsidP="00D8313F">
            <w:pPr>
              <w:spacing w:before="0" w:after="0"/>
              <w:jc w:val="center"/>
              <w:rPr>
                <w:rFonts w:eastAsia="Times New Roman"/>
                <w:sz w:val="18"/>
                <w:szCs w:val="18"/>
              </w:rPr>
            </w:pPr>
          </w:p>
        </w:tc>
      </w:tr>
      <w:tr w:rsidR="00D8313F" w:rsidRPr="00D8313F" w:rsidTr="00D8313F">
        <w:trPr>
          <w:tblCellSpacing w:w="15" w:type="dxa"/>
          <w:jc w:val="center"/>
        </w:trPr>
        <w:tc>
          <w:tcPr>
            <w:tcW w:w="0" w:type="auto"/>
            <w:shd w:val="clear" w:color="auto" w:fill="EAF5FF"/>
            <w:vAlign w:val="center"/>
            <w:hideMark/>
          </w:tcPr>
          <w:p w:rsidR="00D8313F" w:rsidRPr="00D8313F" w:rsidRDefault="00D8313F" w:rsidP="00D8313F">
            <w:pPr>
              <w:spacing w:before="0" w:after="0"/>
              <w:jc w:val="center"/>
              <w:rPr>
                <w:rFonts w:eastAsia="Times New Roman"/>
                <w:sz w:val="18"/>
                <w:szCs w:val="18"/>
              </w:rPr>
            </w:pPr>
            <w:r w:rsidRPr="00D8313F">
              <w:rPr>
                <w:rFonts w:eastAsia="Times New Roman"/>
                <w:b/>
                <w:bCs/>
                <w:sz w:val="18"/>
                <w:szCs w:val="18"/>
              </w:rPr>
              <w:lastRenderedPageBreak/>
              <w:t>Gastos de Funcionamiento Neto (GF)</w:t>
            </w:r>
          </w:p>
          <w:tbl>
            <w:tblPr>
              <w:tblW w:w="8400" w:type="dxa"/>
              <w:jc w:val="center"/>
              <w:tblCellSpacing w:w="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35"/>
              <w:gridCol w:w="4053"/>
              <w:gridCol w:w="2712"/>
            </w:tblGrid>
            <w:tr w:rsidR="00D8313F" w:rsidRPr="00D8313F">
              <w:trPr>
                <w:gridAfter w:val="2"/>
                <w:wAfter w:w="5982" w:type="dxa"/>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8313F" w:rsidRPr="00D8313F" w:rsidRDefault="00D8313F" w:rsidP="00D8313F">
                  <w:pPr>
                    <w:spacing w:before="0" w:after="0"/>
                    <w:rPr>
                      <w:rFonts w:eastAsia="Times New Roman"/>
                      <w:color w:val="auto"/>
                      <w:sz w:val="18"/>
                      <w:szCs w:val="18"/>
                    </w:rPr>
                  </w:pPr>
                </w:p>
              </w:tc>
            </w:tr>
            <w:tr w:rsidR="00D8313F" w:rsidRPr="00D8313F">
              <w:trPr>
                <w:tblCellSpacing w:w="6" w:type="dxa"/>
                <w:jc w:val="center"/>
              </w:trPr>
              <w:tc>
                <w:tcPr>
                  <w:tcW w:w="1440" w:type="dxa"/>
                  <w:tcBorders>
                    <w:top w:val="outset" w:sz="6" w:space="0" w:color="auto"/>
                    <w:left w:val="outset" w:sz="6" w:space="0" w:color="auto"/>
                    <w:bottom w:val="outset" w:sz="6" w:space="0" w:color="auto"/>
                    <w:right w:val="outset" w:sz="6" w:space="0" w:color="auto"/>
                  </w:tcBorders>
                  <w:vAlign w:val="center"/>
                  <w:hideMark/>
                </w:tcPr>
                <w:p w:rsidR="00D8313F" w:rsidRPr="00D8313F" w:rsidRDefault="00D8313F" w:rsidP="00D8313F">
                  <w:pPr>
                    <w:spacing w:before="0" w:after="0"/>
                    <w:jc w:val="center"/>
                    <w:rPr>
                      <w:rFonts w:eastAsia="Times New Roman"/>
                      <w:color w:val="auto"/>
                      <w:sz w:val="18"/>
                      <w:szCs w:val="18"/>
                    </w:rPr>
                  </w:pPr>
                  <w:r w:rsidRPr="00D8313F">
                    <w:rPr>
                      <w:rFonts w:eastAsia="Times New Roman"/>
                      <w:b/>
                      <w:bCs/>
                      <w:color w:val="auto"/>
                      <w:sz w:val="18"/>
                      <w:szCs w:val="18"/>
                    </w:rPr>
                    <w:t>Concepto</w:t>
                  </w:r>
                </w:p>
              </w:tc>
              <w:tc>
                <w:tcPr>
                  <w:tcW w:w="3600" w:type="dxa"/>
                  <w:tcBorders>
                    <w:top w:val="outset" w:sz="6" w:space="0" w:color="auto"/>
                    <w:left w:val="outset" w:sz="6" w:space="0" w:color="auto"/>
                    <w:bottom w:val="outset" w:sz="6" w:space="0" w:color="auto"/>
                    <w:right w:val="outset" w:sz="6" w:space="0" w:color="auto"/>
                  </w:tcBorders>
                  <w:vAlign w:val="center"/>
                  <w:hideMark/>
                </w:tcPr>
                <w:p w:rsidR="00D8313F" w:rsidRPr="00D8313F" w:rsidRDefault="00D8313F" w:rsidP="00D8313F">
                  <w:pPr>
                    <w:spacing w:before="0" w:after="0"/>
                    <w:jc w:val="center"/>
                    <w:rPr>
                      <w:rFonts w:eastAsia="Times New Roman"/>
                      <w:color w:val="auto"/>
                      <w:sz w:val="18"/>
                      <w:szCs w:val="18"/>
                    </w:rPr>
                  </w:pPr>
                  <w:r w:rsidRPr="00D8313F">
                    <w:rPr>
                      <w:rFonts w:eastAsia="Times New Roman"/>
                      <w:b/>
                      <w:bCs/>
                      <w:color w:val="auto"/>
                      <w:sz w:val="18"/>
                      <w:szCs w:val="18"/>
                    </w:rPr>
                    <w:t>Descripción</w:t>
                  </w:r>
                </w:p>
              </w:tc>
              <w:tc>
                <w:tcPr>
                  <w:tcW w:w="2400" w:type="dxa"/>
                  <w:tcBorders>
                    <w:top w:val="outset" w:sz="6" w:space="0" w:color="auto"/>
                    <w:left w:val="outset" w:sz="6" w:space="0" w:color="auto"/>
                    <w:bottom w:val="outset" w:sz="6" w:space="0" w:color="auto"/>
                    <w:right w:val="outset" w:sz="6" w:space="0" w:color="auto"/>
                  </w:tcBorders>
                  <w:vAlign w:val="center"/>
                  <w:hideMark/>
                </w:tcPr>
                <w:p w:rsidR="00D8313F" w:rsidRPr="00D8313F" w:rsidRDefault="00D8313F" w:rsidP="00D8313F">
                  <w:pPr>
                    <w:spacing w:before="0" w:after="0"/>
                    <w:jc w:val="center"/>
                    <w:rPr>
                      <w:rFonts w:eastAsia="Times New Roman"/>
                      <w:color w:val="auto"/>
                      <w:sz w:val="18"/>
                      <w:szCs w:val="18"/>
                    </w:rPr>
                  </w:pPr>
                  <w:r w:rsidRPr="00D8313F">
                    <w:rPr>
                      <w:rFonts w:eastAsia="Times New Roman"/>
                      <w:b/>
                      <w:bCs/>
                      <w:color w:val="auto"/>
                      <w:sz w:val="18"/>
                      <w:szCs w:val="18"/>
                    </w:rPr>
                    <w:t>Ejecución (Miles de Pesos)</w:t>
                  </w:r>
                </w:p>
              </w:tc>
            </w:tr>
            <w:tr w:rsidR="00D8313F" w:rsidRPr="00D8313F">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2.1.01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Gastos de Personal</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jc w:val="right"/>
                    <w:rPr>
                      <w:rFonts w:eastAsia="Times New Roman"/>
                      <w:color w:val="auto"/>
                      <w:sz w:val="18"/>
                      <w:szCs w:val="18"/>
                    </w:rPr>
                  </w:pPr>
                  <w:r w:rsidRPr="00D8313F">
                    <w:rPr>
                      <w:rFonts w:eastAsia="Times New Roman"/>
                      <w:color w:val="auto"/>
                      <w:sz w:val="18"/>
                      <w:szCs w:val="18"/>
                    </w:rPr>
                    <w:t>753.334</w:t>
                  </w:r>
                </w:p>
              </w:tc>
            </w:tr>
            <w:tr w:rsidR="00D8313F" w:rsidRPr="00D8313F">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2.1.02</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Gastos Generales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8313F" w:rsidRPr="00D8313F" w:rsidRDefault="00D8313F" w:rsidP="00D8313F">
                  <w:pPr>
                    <w:spacing w:before="0" w:after="0"/>
                    <w:jc w:val="right"/>
                    <w:rPr>
                      <w:rFonts w:eastAsia="Times New Roman"/>
                      <w:color w:val="auto"/>
                      <w:sz w:val="18"/>
                      <w:szCs w:val="18"/>
                    </w:rPr>
                  </w:pPr>
                  <w:r w:rsidRPr="00D8313F">
                    <w:rPr>
                      <w:rFonts w:eastAsia="Times New Roman"/>
                      <w:color w:val="auto"/>
                      <w:sz w:val="18"/>
                      <w:szCs w:val="18"/>
                    </w:rPr>
                    <w:t>515.771</w:t>
                  </w:r>
                </w:p>
              </w:tc>
            </w:tr>
            <w:tr w:rsidR="00D8313F" w:rsidRPr="00D8313F">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2.1.03</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Transferencias Corrientes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jc w:val="right"/>
                    <w:rPr>
                      <w:rFonts w:eastAsia="Times New Roman"/>
                      <w:color w:val="auto"/>
                      <w:sz w:val="18"/>
                      <w:szCs w:val="18"/>
                    </w:rPr>
                  </w:pPr>
                  <w:r w:rsidRPr="00D8313F">
                    <w:rPr>
                      <w:rFonts w:eastAsia="Times New Roman"/>
                      <w:color w:val="auto"/>
                      <w:sz w:val="18"/>
                      <w:szCs w:val="18"/>
                    </w:rPr>
                    <w:t>64.441</w:t>
                  </w:r>
                </w:p>
              </w:tc>
            </w:tr>
            <w:tr w:rsidR="00D8313F" w:rsidRPr="00D8313F">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8313F" w:rsidRPr="00D8313F" w:rsidRDefault="00D8313F" w:rsidP="00D8313F">
                  <w:pPr>
                    <w:spacing w:before="0" w:after="0"/>
                    <w:rPr>
                      <w:rFonts w:eastAsia="Times New Roman"/>
                      <w:color w:val="auto"/>
                      <w:sz w:val="18"/>
                      <w:szCs w:val="18"/>
                    </w:rPr>
                  </w:pPr>
                  <w:r w:rsidRPr="00D8313F">
                    <w:rPr>
                      <w:rFonts w:eastAsia="Times New Roman"/>
                      <w:color w:val="auto"/>
                      <w:sz w:val="18"/>
                      <w:szCs w:val="18"/>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8313F" w:rsidRPr="00D8313F" w:rsidRDefault="00D8313F" w:rsidP="00D8313F">
                  <w:pPr>
                    <w:spacing w:before="0" w:after="0"/>
                    <w:jc w:val="center"/>
                    <w:rPr>
                      <w:rFonts w:eastAsia="Times New Roman"/>
                      <w:color w:val="auto"/>
                      <w:sz w:val="18"/>
                      <w:szCs w:val="18"/>
                    </w:rPr>
                  </w:pPr>
                  <w:r w:rsidRPr="00D8313F">
                    <w:rPr>
                      <w:rFonts w:eastAsia="Times New Roman"/>
                      <w:b/>
                      <w:bCs/>
                      <w:color w:val="auto"/>
                      <w:sz w:val="18"/>
                      <w:szCs w:val="18"/>
                    </w:rPr>
                    <w:t>Total Gastos Funcionamiento Neto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8313F" w:rsidRPr="00D8313F" w:rsidRDefault="00D8313F" w:rsidP="00D8313F">
                  <w:pPr>
                    <w:spacing w:before="0" w:after="0"/>
                    <w:jc w:val="right"/>
                    <w:rPr>
                      <w:rFonts w:eastAsia="Times New Roman"/>
                      <w:color w:val="auto"/>
                      <w:sz w:val="18"/>
                      <w:szCs w:val="18"/>
                    </w:rPr>
                  </w:pPr>
                  <w:r w:rsidRPr="00D8313F">
                    <w:rPr>
                      <w:rFonts w:eastAsia="Times New Roman"/>
                      <w:b/>
                      <w:bCs/>
                      <w:color w:val="auto"/>
                      <w:sz w:val="18"/>
                      <w:szCs w:val="18"/>
                    </w:rPr>
                    <w:t>1.333.546</w:t>
                  </w:r>
                </w:p>
              </w:tc>
            </w:tr>
          </w:tbl>
          <w:p w:rsidR="00D8313F" w:rsidRPr="00D8313F" w:rsidRDefault="00D8313F" w:rsidP="00D8313F">
            <w:pPr>
              <w:spacing w:before="0" w:after="0"/>
              <w:jc w:val="center"/>
              <w:rPr>
                <w:rFonts w:eastAsia="Times New Roman"/>
                <w:sz w:val="18"/>
                <w:szCs w:val="18"/>
              </w:rPr>
            </w:pPr>
          </w:p>
        </w:tc>
      </w:tr>
      <w:tr w:rsidR="00D8313F" w:rsidRPr="00D8313F" w:rsidTr="00D8313F">
        <w:trPr>
          <w:tblCellSpacing w:w="15" w:type="dxa"/>
          <w:jc w:val="center"/>
        </w:trPr>
        <w:tc>
          <w:tcPr>
            <w:tcW w:w="0" w:type="auto"/>
            <w:shd w:val="clear" w:color="auto" w:fill="EAF5FF"/>
            <w:vAlign w:val="center"/>
            <w:hideMark/>
          </w:tcPr>
          <w:tbl>
            <w:tblPr>
              <w:tblW w:w="8400" w:type="dxa"/>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229"/>
              <w:gridCol w:w="1171"/>
            </w:tblGrid>
            <w:tr w:rsidR="00D8313F" w:rsidRPr="00D8313F">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jc w:val="center"/>
                    <w:rPr>
                      <w:rFonts w:eastAsia="Times New Roman"/>
                      <w:color w:val="auto"/>
                      <w:sz w:val="18"/>
                      <w:szCs w:val="18"/>
                    </w:rPr>
                  </w:pPr>
                  <w:r w:rsidRPr="00D8313F">
                    <w:rPr>
                      <w:rFonts w:eastAsia="Times New Roman"/>
                      <w:b/>
                      <w:bCs/>
                      <w:color w:val="auto"/>
                      <w:sz w:val="18"/>
                      <w:szCs w:val="18"/>
                    </w:rPr>
                    <w:t>Indicador Ley 617/00 (GF/ICLD)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8313F" w:rsidRPr="00D8313F" w:rsidRDefault="00D8313F" w:rsidP="00D8313F">
                  <w:pPr>
                    <w:spacing w:before="0" w:after="0"/>
                    <w:jc w:val="right"/>
                    <w:rPr>
                      <w:rFonts w:eastAsia="Times New Roman"/>
                      <w:color w:val="auto"/>
                      <w:sz w:val="18"/>
                      <w:szCs w:val="18"/>
                    </w:rPr>
                  </w:pPr>
                  <w:r w:rsidRPr="00D8313F">
                    <w:rPr>
                      <w:rFonts w:eastAsia="Times New Roman"/>
                      <w:b/>
                      <w:bCs/>
                      <w:color w:val="auto"/>
                      <w:sz w:val="18"/>
                      <w:szCs w:val="18"/>
                    </w:rPr>
                    <w:t>64,03%</w:t>
                  </w:r>
                </w:p>
              </w:tc>
            </w:tr>
            <w:tr w:rsidR="00D8313F" w:rsidRPr="00D8313F">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8313F" w:rsidRPr="00D8313F" w:rsidRDefault="00D8313F" w:rsidP="00D8313F">
                  <w:pPr>
                    <w:spacing w:before="0" w:after="0"/>
                    <w:jc w:val="center"/>
                    <w:rPr>
                      <w:rFonts w:eastAsia="Times New Roman"/>
                      <w:color w:val="auto"/>
                      <w:sz w:val="18"/>
                      <w:szCs w:val="18"/>
                    </w:rPr>
                  </w:pPr>
                  <w:proofErr w:type="spellStart"/>
                  <w:r w:rsidRPr="00D8313F">
                    <w:rPr>
                      <w:rFonts w:eastAsia="Times New Roman"/>
                      <w:b/>
                      <w:bCs/>
                      <w:color w:val="auto"/>
                      <w:sz w:val="18"/>
                      <w:szCs w:val="18"/>
                    </w:rPr>
                    <w:t>Limte</w:t>
                  </w:r>
                  <w:proofErr w:type="spellEnd"/>
                  <w:r w:rsidRPr="00D8313F">
                    <w:rPr>
                      <w:rFonts w:eastAsia="Times New Roman"/>
                      <w:b/>
                      <w:bCs/>
                      <w:color w:val="auto"/>
                      <w:sz w:val="18"/>
                      <w:szCs w:val="18"/>
                    </w:rPr>
                    <w:t xml:space="preserve"> del Gasto ( - ) Indicador Ley 617/00 (GF/ICLD)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8313F" w:rsidRPr="00D8313F" w:rsidRDefault="00D8313F" w:rsidP="00D8313F">
                  <w:pPr>
                    <w:spacing w:before="0" w:after="0"/>
                    <w:jc w:val="right"/>
                    <w:rPr>
                      <w:rFonts w:eastAsia="Times New Roman"/>
                      <w:color w:val="auto"/>
                      <w:sz w:val="18"/>
                      <w:szCs w:val="18"/>
                    </w:rPr>
                  </w:pPr>
                  <w:r w:rsidRPr="00D8313F">
                    <w:rPr>
                      <w:rFonts w:eastAsia="Times New Roman"/>
                      <w:b/>
                      <w:bCs/>
                      <w:color w:val="auto"/>
                      <w:sz w:val="18"/>
                      <w:szCs w:val="18"/>
                    </w:rPr>
                    <w:t>15,97%</w:t>
                  </w:r>
                </w:p>
              </w:tc>
            </w:tr>
          </w:tbl>
          <w:p w:rsidR="00D8313F" w:rsidRPr="00D8313F" w:rsidRDefault="00D8313F" w:rsidP="00D8313F">
            <w:pPr>
              <w:spacing w:before="0" w:after="0"/>
              <w:jc w:val="center"/>
              <w:rPr>
                <w:rFonts w:eastAsia="Times New Roman"/>
                <w:sz w:val="18"/>
                <w:szCs w:val="18"/>
              </w:rPr>
            </w:pPr>
          </w:p>
        </w:tc>
      </w:tr>
      <w:tr w:rsidR="00D8313F" w:rsidRPr="00D8313F" w:rsidTr="00D8313F">
        <w:trPr>
          <w:tblCellSpacing w:w="15" w:type="dxa"/>
          <w:jc w:val="center"/>
        </w:trPr>
        <w:tc>
          <w:tcPr>
            <w:tcW w:w="0" w:type="auto"/>
            <w:shd w:val="clear" w:color="auto" w:fill="EAF5FF"/>
            <w:vAlign w:val="center"/>
            <w:hideMark/>
          </w:tcPr>
          <w:p w:rsidR="00D8313F" w:rsidRPr="00D8313F" w:rsidRDefault="00D8313F" w:rsidP="00D8313F">
            <w:pPr>
              <w:spacing w:before="0" w:after="0"/>
              <w:rPr>
                <w:rFonts w:eastAsia="Times New Roman"/>
                <w:sz w:val="18"/>
                <w:szCs w:val="18"/>
              </w:rPr>
            </w:pPr>
          </w:p>
        </w:tc>
      </w:tr>
      <w:tr w:rsidR="00D8313F" w:rsidRPr="00D8313F" w:rsidTr="00D8313F">
        <w:trPr>
          <w:tblCellSpacing w:w="15" w:type="dxa"/>
          <w:jc w:val="center"/>
        </w:trPr>
        <w:tc>
          <w:tcPr>
            <w:tcW w:w="0" w:type="auto"/>
            <w:shd w:val="clear" w:color="auto" w:fill="EAF5FF"/>
            <w:vAlign w:val="center"/>
            <w:hideMark/>
          </w:tcPr>
          <w:p w:rsidR="00D8313F" w:rsidRPr="00D8313F" w:rsidRDefault="00D8313F" w:rsidP="00D8313F">
            <w:pPr>
              <w:spacing w:before="0" w:after="0"/>
              <w:rPr>
                <w:rFonts w:eastAsia="Times New Roman"/>
                <w:sz w:val="18"/>
                <w:szCs w:val="18"/>
              </w:rPr>
            </w:pPr>
          </w:p>
        </w:tc>
      </w:tr>
      <w:tr w:rsidR="00D8313F" w:rsidRPr="00D8313F" w:rsidTr="00D8313F">
        <w:trPr>
          <w:tblCellSpacing w:w="15" w:type="dxa"/>
          <w:jc w:val="center"/>
        </w:trPr>
        <w:tc>
          <w:tcPr>
            <w:tcW w:w="0" w:type="auto"/>
            <w:shd w:val="clear" w:color="auto" w:fill="EAF5FF"/>
            <w:vAlign w:val="center"/>
            <w:hideMark/>
          </w:tcPr>
          <w:p w:rsidR="00D8313F" w:rsidRPr="00D8313F" w:rsidRDefault="00D8313F" w:rsidP="00D8313F">
            <w:pPr>
              <w:spacing w:before="0" w:after="0"/>
              <w:rPr>
                <w:rFonts w:eastAsia="Times New Roman"/>
                <w:sz w:val="18"/>
                <w:szCs w:val="18"/>
              </w:rPr>
            </w:pPr>
          </w:p>
        </w:tc>
      </w:tr>
    </w:tbl>
    <w:p w:rsidR="005F5D93" w:rsidRPr="00AC2164" w:rsidRDefault="00AC2164" w:rsidP="00AC2164">
      <w:pPr>
        <w:spacing w:before="0" w:after="0"/>
        <w:rPr>
          <w:rFonts w:eastAsia="Times New Roman"/>
          <w:color w:val="auto"/>
          <w:sz w:val="18"/>
          <w:szCs w:val="18"/>
        </w:rPr>
      </w:pPr>
      <w:r>
        <w:rPr>
          <w:rFonts w:eastAsia="Times New Roman"/>
          <w:color w:val="auto"/>
          <w:sz w:val="18"/>
          <w:szCs w:val="18"/>
        </w:rPr>
        <w:t>Información tomada de la página de la Contraloría General de la República</w:t>
      </w:r>
    </w:p>
    <w:p w:rsidR="003C703A" w:rsidRDefault="003C703A" w:rsidP="00AC2164">
      <w:pPr>
        <w:pStyle w:val="Ttulo2"/>
        <w:jc w:val="both"/>
        <w:rPr>
          <w:rFonts w:ascii="Tahoma" w:hAnsi="Tahoma" w:cs="Tahoma"/>
          <w:b w:val="0"/>
          <w:sz w:val="22"/>
          <w:lang w:val="es-CO"/>
        </w:rPr>
      </w:pPr>
    </w:p>
    <w:p w:rsidR="008762C3" w:rsidRDefault="008762C3" w:rsidP="008762C3">
      <w:pPr>
        <w:pStyle w:val="Ttulo2"/>
        <w:jc w:val="both"/>
        <w:rPr>
          <w:rFonts w:ascii="Tahoma" w:hAnsi="Tahoma" w:cs="Tahoma"/>
          <w:b w:val="0"/>
          <w:sz w:val="22"/>
          <w:lang w:val="es-CO"/>
        </w:rPr>
      </w:pPr>
      <w:r>
        <w:rPr>
          <w:rFonts w:ascii="Tahoma" w:hAnsi="Tahoma" w:cs="Tahoma"/>
          <w:b w:val="0"/>
          <w:sz w:val="22"/>
          <w:lang w:val="es-CO"/>
        </w:rPr>
        <w:t xml:space="preserve">Teniendo en cuenta la certificación de Ingresos corrientes de Libre Destinación expedida por la Contraloría General de la República y la Ejecución presupuestal de Ingresos y Gastos, se evidenció que el Municipio de Ambalema </w:t>
      </w:r>
      <w:r w:rsidRPr="007C336F">
        <w:rPr>
          <w:rFonts w:ascii="Tahoma" w:hAnsi="Tahoma" w:cs="Tahoma"/>
          <w:sz w:val="22"/>
          <w:lang w:val="es-CO"/>
        </w:rPr>
        <w:t>CUMPLE</w:t>
      </w:r>
      <w:r>
        <w:rPr>
          <w:rFonts w:ascii="Tahoma" w:hAnsi="Tahoma" w:cs="Tahoma"/>
          <w:b w:val="0"/>
          <w:sz w:val="22"/>
          <w:lang w:val="es-CO"/>
        </w:rPr>
        <w:t xml:space="preserve"> con el indicador de ley 617 de 2000, toda vez que los Gastos de funcionamiento para la vigencia fiscal 2015 fueron del </w:t>
      </w:r>
      <w:r w:rsidRPr="008762C3">
        <w:rPr>
          <w:rFonts w:ascii="Tahoma" w:hAnsi="Tahoma" w:cs="Tahoma"/>
          <w:sz w:val="22"/>
          <w:lang w:val="es-CO"/>
        </w:rPr>
        <w:t>64.03%</w:t>
      </w:r>
      <w:r>
        <w:rPr>
          <w:rFonts w:ascii="Tahoma" w:hAnsi="Tahoma" w:cs="Tahoma"/>
          <w:b w:val="0"/>
          <w:sz w:val="22"/>
          <w:lang w:val="es-CO"/>
        </w:rPr>
        <w:t xml:space="preserve"> dónde el límite máximo es del 80%.</w:t>
      </w:r>
    </w:p>
    <w:p w:rsidR="008762C3" w:rsidRDefault="008762C3" w:rsidP="004B7B3F">
      <w:pPr>
        <w:spacing w:before="0" w:after="0"/>
        <w:jc w:val="both"/>
        <w:rPr>
          <w:rFonts w:ascii="Tahoma" w:eastAsia="Times New Roman" w:hAnsi="Tahoma" w:cs="Tahoma"/>
          <w:b/>
          <w:bCs/>
          <w:color w:val="auto"/>
        </w:rPr>
      </w:pPr>
    </w:p>
    <w:p w:rsidR="004B7B3F" w:rsidRPr="00163FB1" w:rsidRDefault="00E15E67" w:rsidP="004B7B3F">
      <w:pPr>
        <w:spacing w:before="0" w:after="0"/>
        <w:jc w:val="both"/>
        <w:rPr>
          <w:rFonts w:ascii="Tahoma" w:eastAsia="Times New Roman" w:hAnsi="Tahoma" w:cs="Tahoma"/>
          <w:b/>
          <w:bCs/>
          <w:color w:val="auto"/>
        </w:rPr>
      </w:pPr>
      <w:r w:rsidRPr="00163FB1">
        <w:rPr>
          <w:rFonts w:ascii="Tahoma" w:eastAsia="Times New Roman" w:hAnsi="Tahoma" w:cs="Tahoma"/>
          <w:b/>
          <w:bCs/>
          <w:color w:val="auto"/>
        </w:rPr>
        <w:t xml:space="preserve">GASTOS DE LAS CORPORACIONES </w:t>
      </w:r>
      <w:r w:rsidR="005F4A02" w:rsidRPr="00163FB1">
        <w:rPr>
          <w:rFonts w:ascii="Tahoma" w:eastAsia="Times New Roman" w:hAnsi="Tahoma" w:cs="Tahoma"/>
          <w:b/>
          <w:bCs/>
          <w:color w:val="auto"/>
        </w:rPr>
        <w:t>PÚBLICAS</w:t>
      </w:r>
      <w:r w:rsidRPr="00163FB1">
        <w:rPr>
          <w:rFonts w:ascii="Tahoma" w:eastAsia="Times New Roman" w:hAnsi="Tahoma" w:cs="Tahoma"/>
          <w:b/>
          <w:bCs/>
          <w:color w:val="auto"/>
        </w:rPr>
        <w:t xml:space="preserve"> – CONCEJO MUNICIPAL</w:t>
      </w:r>
    </w:p>
    <w:p w:rsidR="00E15E67" w:rsidRPr="00163FB1" w:rsidRDefault="00E15E67" w:rsidP="004B7B3F">
      <w:pPr>
        <w:spacing w:before="0" w:after="0"/>
        <w:jc w:val="both"/>
        <w:rPr>
          <w:rFonts w:ascii="Tahoma" w:eastAsia="Times New Roman" w:hAnsi="Tahoma" w:cs="Tahoma"/>
          <w:b/>
          <w:bCs/>
          <w:color w:val="auto"/>
        </w:rPr>
      </w:pPr>
    </w:p>
    <w:p w:rsidR="00E15E67" w:rsidRDefault="00E15E67" w:rsidP="004B7B3F">
      <w:pPr>
        <w:spacing w:before="0" w:after="0"/>
        <w:jc w:val="both"/>
        <w:rPr>
          <w:rFonts w:ascii="Tahoma" w:hAnsi="Tahoma" w:cs="Tahoma"/>
        </w:rPr>
      </w:pPr>
      <w:r w:rsidRPr="00163FB1">
        <w:rPr>
          <w:rFonts w:ascii="Tahoma" w:eastAsia="Times New Roman" w:hAnsi="Tahoma" w:cs="Tahoma"/>
          <w:bCs/>
          <w:color w:val="auto"/>
        </w:rPr>
        <w:t xml:space="preserve">El </w:t>
      </w:r>
      <w:r w:rsidR="00C86CA5" w:rsidRPr="00163FB1">
        <w:rPr>
          <w:rFonts w:ascii="Tahoma" w:eastAsia="Times New Roman" w:hAnsi="Tahoma" w:cs="Tahoma"/>
          <w:bCs/>
          <w:color w:val="auto"/>
        </w:rPr>
        <w:t>ente Territorial</w:t>
      </w:r>
      <w:r w:rsidRPr="00163FB1">
        <w:rPr>
          <w:rFonts w:ascii="Tahoma" w:eastAsia="Times New Roman" w:hAnsi="Tahoma" w:cs="Tahoma"/>
          <w:bCs/>
          <w:color w:val="auto"/>
        </w:rPr>
        <w:t xml:space="preserve"> para la vigencia 2015, le transfirió al Concejo Municipal la suma de $</w:t>
      </w:r>
      <w:r w:rsidR="00DD69A0" w:rsidRPr="00163FB1">
        <w:rPr>
          <w:rFonts w:ascii="Tahoma" w:eastAsia="Times New Roman" w:hAnsi="Tahoma" w:cs="Tahoma"/>
          <w:bCs/>
          <w:color w:val="auto"/>
        </w:rPr>
        <w:t>109</w:t>
      </w:r>
      <w:r w:rsidR="00EE23CA" w:rsidRPr="00163FB1">
        <w:rPr>
          <w:rFonts w:ascii="Tahoma" w:hAnsi="Tahoma" w:cs="Tahoma"/>
          <w:color w:val="auto"/>
        </w:rPr>
        <w:t xml:space="preserve"> millones</w:t>
      </w:r>
      <w:r w:rsidR="005F4A02" w:rsidRPr="00163FB1">
        <w:rPr>
          <w:rFonts w:ascii="Tahoma" w:eastAsia="Times New Roman" w:hAnsi="Tahoma" w:cs="Tahoma"/>
          <w:bCs/>
          <w:color w:val="auto"/>
        </w:rPr>
        <w:t>, de los cuales $</w:t>
      </w:r>
      <w:r w:rsidR="005F2A16" w:rsidRPr="00163FB1">
        <w:rPr>
          <w:rFonts w:ascii="Tahoma" w:eastAsia="Times New Roman" w:hAnsi="Tahoma" w:cs="Tahoma"/>
          <w:bCs/>
          <w:color w:val="auto"/>
        </w:rPr>
        <w:t>60</w:t>
      </w:r>
      <w:r w:rsidR="00EE23CA" w:rsidRPr="00163FB1">
        <w:rPr>
          <w:rFonts w:ascii="Tahoma" w:eastAsia="Times New Roman" w:hAnsi="Tahoma" w:cs="Tahoma"/>
          <w:bCs/>
          <w:color w:val="auto"/>
        </w:rPr>
        <w:t xml:space="preserve"> </w:t>
      </w:r>
      <w:r w:rsidR="00EE23CA" w:rsidRPr="00163FB1">
        <w:rPr>
          <w:rFonts w:ascii="Tahoma" w:hAnsi="Tahoma" w:cs="Tahoma"/>
          <w:color w:val="auto"/>
        </w:rPr>
        <w:t>millones</w:t>
      </w:r>
      <w:r w:rsidR="005F4A02" w:rsidRPr="00163FB1">
        <w:rPr>
          <w:rFonts w:ascii="Tahoma" w:eastAsia="Times New Roman" w:hAnsi="Tahoma" w:cs="Tahoma"/>
          <w:bCs/>
          <w:color w:val="auto"/>
        </w:rPr>
        <w:t xml:space="preserve"> correspondieron a honorarios de Concejales y $</w:t>
      </w:r>
      <w:r w:rsidR="005F2A16" w:rsidRPr="00163FB1">
        <w:rPr>
          <w:rFonts w:ascii="Tahoma" w:eastAsia="Times New Roman" w:hAnsi="Tahoma" w:cs="Tahoma"/>
          <w:bCs/>
          <w:color w:val="auto"/>
        </w:rPr>
        <w:t>49</w:t>
      </w:r>
      <w:r w:rsidR="00EE23CA" w:rsidRPr="00163FB1">
        <w:rPr>
          <w:rFonts w:ascii="Tahoma" w:eastAsia="Times New Roman" w:hAnsi="Tahoma" w:cs="Tahoma"/>
          <w:bCs/>
          <w:color w:val="auto"/>
        </w:rPr>
        <w:t xml:space="preserve"> </w:t>
      </w:r>
      <w:r w:rsidR="00EE23CA" w:rsidRPr="00163FB1">
        <w:rPr>
          <w:rFonts w:ascii="Tahoma" w:hAnsi="Tahoma" w:cs="Tahoma"/>
          <w:color w:val="auto"/>
        </w:rPr>
        <w:t>millones</w:t>
      </w:r>
      <w:r w:rsidR="005F4A02" w:rsidRPr="00163FB1">
        <w:rPr>
          <w:rFonts w:ascii="Tahoma" w:eastAsia="Times New Roman" w:hAnsi="Tahoma" w:cs="Tahoma"/>
          <w:bCs/>
          <w:color w:val="auto"/>
        </w:rPr>
        <w:t xml:space="preserve"> para gastos de funcionamiento</w:t>
      </w:r>
      <w:r w:rsidR="007B5621" w:rsidRPr="00163FB1">
        <w:rPr>
          <w:rFonts w:ascii="Tahoma" w:eastAsia="Times New Roman" w:hAnsi="Tahoma" w:cs="Tahoma"/>
          <w:bCs/>
          <w:color w:val="auto"/>
        </w:rPr>
        <w:t xml:space="preserve">, con ello </w:t>
      </w:r>
      <w:r w:rsidR="001B475A" w:rsidRPr="00163FB1">
        <w:rPr>
          <w:rFonts w:ascii="Tahoma" w:eastAsia="Times New Roman" w:hAnsi="Tahoma" w:cs="Tahoma"/>
          <w:bCs/>
          <w:color w:val="auto"/>
        </w:rPr>
        <w:t xml:space="preserve">el Municipio de </w:t>
      </w:r>
      <w:r w:rsidR="005C59D9" w:rsidRPr="00163FB1">
        <w:rPr>
          <w:rFonts w:ascii="Tahoma" w:hAnsi="Tahoma" w:cs="Tahoma"/>
        </w:rPr>
        <w:t>A</w:t>
      </w:r>
      <w:r w:rsidR="0045772A" w:rsidRPr="00163FB1">
        <w:rPr>
          <w:rFonts w:ascii="Tahoma" w:hAnsi="Tahoma" w:cs="Tahoma"/>
        </w:rPr>
        <w:t>mbalema</w:t>
      </w:r>
      <w:r w:rsidR="005F2A16" w:rsidRPr="00163FB1">
        <w:rPr>
          <w:rFonts w:ascii="Tahoma" w:hAnsi="Tahoma" w:cs="Tahoma"/>
        </w:rPr>
        <w:t xml:space="preserve"> </w:t>
      </w:r>
      <w:r w:rsidR="005F2A16" w:rsidRPr="00163FB1">
        <w:rPr>
          <w:rFonts w:ascii="Tahoma" w:hAnsi="Tahoma" w:cs="Tahoma"/>
          <w:b/>
        </w:rPr>
        <w:t>NO</w:t>
      </w:r>
      <w:r w:rsidR="0078344D" w:rsidRPr="00163FB1">
        <w:rPr>
          <w:rFonts w:ascii="Tahoma" w:eastAsia="Times New Roman" w:hAnsi="Tahoma" w:cs="Tahoma"/>
          <w:b/>
          <w:bCs/>
          <w:color w:val="auto"/>
        </w:rPr>
        <w:t xml:space="preserve"> </w:t>
      </w:r>
      <w:r w:rsidR="00640913" w:rsidRPr="00163FB1">
        <w:rPr>
          <w:rFonts w:ascii="Tahoma" w:eastAsia="Times New Roman" w:hAnsi="Tahoma" w:cs="Tahoma"/>
          <w:b/>
          <w:bCs/>
          <w:color w:val="auto"/>
          <w:u w:val="single"/>
        </w:rPr>
        <w:t>d</w:t>
      </w:r>
      <w:r w:rsidR="001B475A" w:rsidRPr="00163FB1">
        <w:rPr>
          <w:rFonts w:ascii="Tahoma" w:eastAsia="Times New Roman" w:hAnsi="Tahoma" w:cs="Tahoma"/>
          <w:b/>
          <w:bCs/>
          <w:color w:val="auto"/>
          <w:u w:val="single"/>
        </w:rPr>
        <w:t>io</w:t>
      </w:r>
      <w:r w:rsidR="00640913" w:rsidRPr="00163FB1">
        <w:rPr>
          <w:rFonts w:ascii="Tahoma" w:eastAsia="Times New Roman" w:hAnsi="Tahoma" w:cs="Tahoma"/>
          <w:b/>
          <w:bCs/>
          <w:color w:val="auto"/>
          <w:u w:val="single"/>
        </w:rPr>
        <w:t xml:space="preserve"> </w:t>
      </w:r>
      <w:r w:rsidR="00640913" w:rsidRPr="00163FB1">
        <w:rPr>
          <w:rFonts w:ascii="Tahoma" w:hAnsi="Tahoma" w:cs="Tahoma"/>
          <w:b/>
          <w:u w:val="single"/>
        </w:rPr>
        <w:t>cumplimiento</w:t>
      </w:r>
      <w:r w:rsidR="00640913" w:rsidRPr="00163FB1">
        <w:rPr>
          <w:rFonts w:ascii="Tahoma" w:hAnsi="Tahoma" w:cs="Tahoma"/>
          <w:u w:val="single"/>
        </w:rPr>
        <w:t xml:space="preserve"> </w:t>
      </w:r>
      <w:r w:rsidR="00640913" w:rsidRPr="00163FB1">
        <w:rPr>
          <w:rFonts w:ascii="Tahoma" w:hAnsi="Tahoma" w:cs="Tahoma"/>
        </w:rPr>
        <w:t>a lo establec</w:t>
      </w:r>
      <w:r w:rsidR="00A66750" w:rsidRPr="00163FB1">
        <w:rPr>
          <w:rFonts w:ascii="Tahoma" w:hAnsi="Tahoma" w:cs="Tahoma"/>
        </w:rPr>
        <w:t xml:space="preserve">ido en </w:t>
      </w:r>
      <w:r w:rsidR="00640913" w:rsidRPr="00163FB1">
        <w:rPr>
          <w:rFonts w:ascii="Tahoma" w:hAnsi="Tahoma" w:cs="Tahoma"/>
        </w:rPr>
        <w:t>la Ley 617 de</w:t>
      </w:r>
      <w:r w:rsidR="00C86CA5" w:rsidRPr="00163FB1">
        <w:rPr>
          <w:rFonts w:ascii="Tahoma" w:hAnsi="Tahoma" w:cs="Tahoma"/>
        </w:rPr>
        <w:t xml:space="preserve"> 2000 artículo 10,</w:t>
      </w:r>
      <w:r w:rsidR="005172FE" w:rsidRPr="00163FB1">
        <w:rPr>
          <w:rFonts w:ascii="Tahoma" w:hAnsi="Tahoma" w:cs="Tahoma"/>
        </w:rPr>
        <w:t xml:space="preserve"> que en lo pertinente dice: “Durante cada vigencia fiscal, los gastos de los Concejos no podrán superar el valor correspondiente al total de los honorarios que se causen por el número de sesiones autorizado en el artículo 20 de esta ley más el uno punto cinco por ciento (1.5%) de los ingresos corrientes de libre destinación”.</w:t>
      </w:r>
      <w:r w:rsidR="00763FDB" w:rsidRPr="00163FB1">
        <w:rPr>
          <w:rFonts w:ascii="Tahoma" w:hAnsi="Tahoma" w:cs="Tahoma"/>
        </w:rPr>
        <w:t xml:space="preserve"> Es decir, </w:t>
      </w:r>
      <w:r w:rsidR="001B475A" w:rsidRPr="00163FB1">
        <w:rPr>
          <w:rFonts w:ascii="Tahoma" w:hAnsi="Tahoma" w:cs="Tahoma"/>
        </w:rPr>
        <w:t>l</w:t>
      </w:r>
      <w:r w:rsidR="00763FDB" w:rsidRPr="00163FB1">
        <w:rPr>
          <w:rFonts w:ascii="Tahoma" w:hAnsi="Tahoma" w:cs="Tahoma"/>
        </w:rPr>
        <w:t>a suma de $</w:t>
      </w:r>
      <w:r w:rsidR="00163FB1" w:rsidRPr="00163FB1">
        <w:rPr>
          <w:rFonts w:ascii="Tahoma" w:hAnsi="Tahoma" w:cs="Tahoma"/>
        </w:rPr>
        <w:t>31.239.000</w:t>
      </w:r>
      <w:r w:rsidR="00763FDB" w:rsidRPr="00163FB1">
        <w:rPr>
          <w:rFonts w:ascii="Tahoma" w:hAnsi="Tahoma" w:cs="Tahoma"/>
        </w:rPr>
        <w:t>.oo</w:t>
      </w:r>
      <w:r w:rsidR="005172FE">
        <w:rPr>
          <w:rFonts w:ascii="Tahoma" w:hAnsi="Tahoma" w:cs="Tahoma"/>
        </w:rPr>
        <w:t xml:space="preserve"> </w:t>
      </w:r>
    </w:p>
    <w:p w:rsidR="00763FDB" w:rsidRDefault="00763FDB" w:rsidP="004B7B3F">
      <w:pPr>
        <w:spacing w:before="0" w:after="0"/>
        <w:jc w:val="both"/>
        <w:rPr>
          <w:rFonts w:ascii="Tahoma" w:hAnsi="Tahoma" w:cs="Tahoma"/>
        </w:rPr>
      </w:pPr>
    </w:p>
    <w:p w:rsidR="00DD69A0" w:rsidRPr="00163FB1" w:rsidRDefault="00163FB1" w:rsidP="004B7B3F">
      <w:pPr>
        <w:spacing w:before="0" w:after="0"/>
        <w:jc w:val="both"/>
        <w:rPr>
          <w:rFonts w:ascii="Tahoma" w:eastAsia="Times New Roman" w:hAnsi="Tahoma" w:cs="Tahoma"/>
          <w:b/>
          <w:bCs/>
          <w:i/>
          <w:color w:val="auto"/>
        </w:rPr>
      </w:pPr>
      <w:r w:rsidRPr="00163FB1">
        <w:rPr>
          <w:rFonts w:ascii="Tahoma" w:eastAsia="Times New Roman" w:hAnsi="Tahoma" w:cs="Tahoma"/>
          <w:b/>
          <w:bCs/>
          <w:i/>
          <w:color w:val="auto"/>
        </w:rPr>
        <w:t xml:space="preserve">Fuente Formulario </w:t>
      </w:r>
      <w:proofErr w:type="spellStart"/>
      <w:r w:rsidRPr="00163FB1">
        <w:rPr>
          <w:rFonts w:ascii="Tahoma" w:eastAsia="Times New Roman" w:hAnsi="Tahoma" w:cs="Tahoma"/>
          <w:b/>
          <w:bCs/>
          <w:i/>
          <w:color w:val="auto"/>
        </w:rPr>
        <w:t>Fut</w:t>
      </w:r>
      <w:proofErr w:type="spellEnd"/>
      <w:r w:rsidRPr="00163FB1">
        <w:rPr>
          <w:rFonts w:ascii="Tahoma" w:eastAsia="Times New Roman" w:hAnsi="Tahoma" w:cs="Tahoma"/>
          <w:b/>
          <w:bCs/>
          <w:i/>
          <w:color w:val="auto"/>
        </w:rPr>
        <w:t xml:space="preserve"> Gastos de Funcionamiento</w:t>
      </w:r>
    </w:p>
    <w:p w:rsidR="00163FB1" w:rsidRDefault="00163FB1" w:rsidP="004B7B3F">
      <w:pPr>
        <w:spacing w:before="0" w:after="0"/>
        <w:jc w:val="both"/>
        <w:rPr>
          <w:rFonts w:ascii="Tahoma" w:eastAsia="Times New Roman" w:hAnsi="Tahoma" w:cs="Tahoma"/>
          <w:b/>
          <w:bCs/>
          <w:color w:val="auto"/>
        </w:rPr>
      </w:pPr>
    </w:p>
    <w:p w:rsidR="009F248B" w:rsidRPr="00CA76CA" w:rsidRDefault="009F248B" w:rsidP="004B7B3F">
      <w:pPr>
        <w:spacing w:before="0" w:after="0"/>
        <w:jc w:val="both"/>
        <w:rPr>
          <w:rFonts w:ascii="Tahoma" w:eastAsia="Times New Roman" w:hAnsi="Tahoma" w:cs="Tahoma"/>
          <w:b/>
          <w:bCs/>
          <w:color w:val="auto"/>
        </w:rPr>
      </w:pPr>
      <w:r w:rsidRPr="00CA76CA">
        <w:rPr>
          <w:rFonts w:ascii="Tahoma" w:eastAsia="Times New Roman" w:hAnsi="Tahoma" w:cs="Tahoma"/>
          <w:b/>
          <w:bCs/>
          <w:color w:val="auto"/>
        </w:rPr>
        <w:t>GASTOS DE LAS PERSONERIAS</w:t>
      </w:r>
    </w:p>
    <w:p w:rsidR="009F248B" w:rsidRPr="00CA76CA" w:rsidRDefault="009F248B" w:rsidP="004B7B3F">
      <w:pPr>
        <w:spacing w:before="0" w:after="0"/>
        <w:jc w:val="both"/>
        <w:rPr>
          <w:rFonts w:ascii="Tahoma" w:eastAsia="Times New Roman" w:hAnsi="Tahoma" w:cs="Tahoma"/>
          <w:bCs/>
          <w:color w:val="auto"/>
        </w:rPr>
      </w:pPr>
    </w:p>
    <w:p w:rsidR="00D34898" w:rsidRPr="00CA76CA" w:rsidRDefault="00A05F58" w:rsidP="004B7B3F">
      <w:pPr>
        <w:spacing w:before="0" w:after="0"/>
        <w:jc w:val="both"/>
        <w:rPr>
          <w:rFonts w:ascii="Tahoma" w:eastAsia="Times New Roman" w:hAnsi="Tahoma" w:cs="Tahoma"/>
          <w:bCs/>
          <w:color w:val="auto"/>
        </w:rPr>
      </w:pPr>
      <w:r w:rsidRPr="00CA76CA">
        <w:rPr>
          <w:rFonts w:ascii="Tahoma" w:eastAsia="Times New Roman" w:hAnsi="Tahoma" w:cs="Tahoma"/>
          <w:bCs/>
          <w:color w:val="auto"/>
        </w:rPr>
        <w:t>La ley 617 de 2000, en su artículo 10, establece el valor máximo  de los gastos de funcionamiento para las Personerías Municipales</w:t>
      </w:r>
      <w:r w:rsidR="008C73D6" w:rsidRPr="00CA76CA">
        <w:rPr>
          <w:rFonts w:ascii="Tahoma" w:eastAsia="Times New Roman" w:hAnsi="Tahoma" w:cs="Tahoma"/>
          <w:bCs/>
          <w:color w:val="auto"/>
        </w:rPr>
        <w:t xml:space="preserve"> de acuer</w:t>
      </w:r>
      <w:r w:rsidR="004E1489">
        <w:rPr>
          <w:rFonts w:ascii="Tahoma" w:eastAsia="Times New Roman" w:hAnsi="Tahoma" w:cs="Tahoma"/>
          <w:bCs/>
          <w:color w:val="auto"/>
        </w:rPr>
        <w:t xml:space="preserve">do a la categoría del Municipio. </w:t>
      </w:r>
      <w:r w:rsidR="004E1489">
        <w:rPr>
          <w:rFonts w:ascii="Tahoma" w:eastAsia="Times New Roman" w:hAnsi="Tahoma" w:cs="Tahoma"/>
          <w:bCs/>
          <w:color w:val="auto"/>
        </w:rPr>
        <w:lastRenderedPageBreak/>
        <w:t>El M</w:t>
      </w:r>
      <w:r w:rsidR="008C73D6" w:rsidRPr="00CA76CA">
        <w:rPr>
          <w:rFonts w:ascii="Tahoma" w:eastAsia="Times New Roman" w:hAnsi="Tahoma" w:cs="Tahoma"/>
          <w:bCs/>
          <w:color w:val="auto"/>
        </w:rPr>
        <w:t xml:space="preserve">unicipio de </w:t>
      </w:r>
      <w:r w:rsidR="002B7EA5">
        <w:rPr>
          <w:rFonts w:ascii="Tahoma" w:eastAsia="Times New Roman" w:hAnsi="Tahoma" w:cs="Tahoma"/>
          <w:bCs/>
          <w:color w:val="auto"/>
        </w:rPr>
        <w:t>A</w:t>
      </w:r>
      <w:r w:rsidR="00DD69A0">
        <w:rPr>
          <w:rFonts w:ascii="Tahoma" w:eastAsia="Times New Roman" w:hAnsi="Tahoma" w:cs="Tahoma"/>
          <w:bCs/>
          <w:color w:val="auto"/>
        </w:rPr>
        <w:t>mbalema</w:t>
      </w:r>
      <w:r w:rsidR="008C73D6" w:rsidRPr="00CA76CA">
        <w:rPr>
          <w:rFonts w:ascii="Tahoma" w:eastAsia="Times New Roman" w:hAnsi="Tahoma" w:cs="Tahoma"/>
          <w:bCs/>
          <w:color w:val="auto"/>
        </w:rPr>
        <w:t xml:space="preserve"> </w:t>
      </w:r>
      <w:r w:rsidR="00D34898" w:rsidRPr="00CA76CA">
        <w:rPr>
          <w:rFonts w:ascii="Tahoma" w:eastAsia="Times New Roman" w:hAnsi="Tahoma" w:cs="Tahoma"/>
          <w:bCs/>
          <w:color w:val="auto"/>
        </w:rPr>
        <w:t xml:space="preserve">se encuentra clasificado en Sexta Categoría, los gastos </w:t>
      </w:r>
      <w:r w:rsidR="004E1489">
        <w:rPr>
          <w:rFonts w:ascii="Tahoma" w:eastAsia="Times New Roman" w:hAnsi="Tahoma" w:cs="Tahoma"/>
          <w:bCs/>
          <w:color w:val="auto"/>
        </w:rPr>
        <w:t>de la personería no podrá</w:t>
      </w:r>
      <w:r w:rsidR="00D34898" w:rsidRPr="00CA76CA">
        <w:rPr>
          <w:rFonts w:ascii="Tahoma" w:eastAsia="Times New Roman" w:hAnsi="Tahoma" w:cs="Tahoma"/>
          <w:bCs/>
          <w:color w:val="auto"/>
        </w:rPr>
        <w:t xml:space="preserve"> superar los 150 SMMV, es decir, para la vigencia 2015 la suma de $96.652.500.oo</w:t>
      </w:r>
    </w:p>
    <w:p w:rsidR="00D34898" w:rsidRPr="00CA76CA" w:rsidRDefault="00D34898" w:rsidP="004B7B3F">
      <w:pPr>
        <w:spacing w:before="0" w:after="0"/>
        <w:jc w:val="both"/>
        <w:rPr>
          <w:rFonts w:ascii="Tahoma" w:eastAsia="Times New Roman" w:hAnsi="Tahoma" w:cs="Tahoma"/>
          <w:bCs/>
          <w:color w:val="auto"/>
        </w:rPr>
      </w:pPr>
    </w:p>
    <w:p w:rsidR="00F344D5" w:rsidRPr="00CA76CA" w:rsidRDefault="00F344D5" w:rsidP="004B7B3F">
      <w:pPr>
        <w:spacing w:before="0" w:after="0"/>
        <w:jc w:val="both"/>
        <w:rPr>
          <w:rFonts w:ascii="Tahoma" w:eastAsia="Times New Roman" w:hAnsi="Tahoma" w:cs="Tahoma"/>
          <w:bCs/>
          <w:color w:val="auto"/>
        </w:rPr>
      </w:pPr>
      <w:r w:rsidRPr="00227F78">
        <w:rPr>
          <w:rFonts w:ascii="Tahoma" w:eastAsia="Times New Roman" w:hAnsi="Tahoma" w:cs="Tahoma"/>
          <w:bCs/>
          <w:color w:val="auto"/>
        </w:rPr>
        <w:t>Por</w:t>
      </w:r>
      <w:r w:rsidR="00D34898" w:rsidRPr="00227F78">
        <w:rPr>
          <w:rFonts w:ascii="Tahoma" w:eastAsia="Times New Roman" w:hAnsi="Tahoma" w:cs="Tahoma"/>
          <w:bCs/>
          <w:color w:val="auto"/>
        </w:rPr>
        <w:t xml:space="preserve"> lo anterior, se observó que la entidad Territorial, </w:t>
      </w:r>
      <w:r w:rsidRPr="00227F78">
        <w:rPr>
          <w:rFonts w:ascii="Tahoma" w:eastAsia="Times New Roman" w:hAnsi="Tahoma" w:cs="Tahoma"/>
          <w:b/>
          <w:bCs/>
          <w:color w:val="auto"/>
          <w:u w:val="single"/>
        </w:rPr>
        <w:t>cumplió</w:t>
      </w:r>
      <w:r w:rsidRPr="00227F78">
        <w:rPr>
          <w:rFonts w:ascii="Tahoma" w:eastAsia="Times New Roman" w:hAnsi="Tahoma" w:cs="Tahoma"/>
          <w:bCs/>
          <w:color w:val="auto"/>
        </w:rPr>
        <w:t xml:space="preserve"> con lo Establecido en la ley 617 de 2000, toda vez que le transfirió a la personería Municipal la suma de </w:t>
      </w:r>
      <w:r w:rsidR="00425FF4" w:rsidRPr="00227F78">
        <w:rPr>
          <w:rFonts w:ascii="Tahoma" w:eastAsia="Times New Roman" w:hAnsi="Tahoma" w:cs="Tahoma"/>
          <w:bCs/>
          <w:color w:val="auto"/>
        </w:rPr>
        <w:t>$9</w:t>
      </w:r>
      <w:r w:rsidR="00227F78" w:rsidRPr="00227F78">
        <w:rPr>
          <w:rFonts w:ascii="Tahoma" w:eastAsia="Times New Roman" w:hAnsi="Tahoma" w:cs="Tahoma"/>
          <w:bCs/>
          <w:color w:val="auto"/>
        </w:rPr>
        <w:t>6</w:t>
      </w:r>
      <w:r w:rsidR="00425FF4" w:rsidRPr="00227F78">
        <w:rPr>
          <w:rFonts w:ascii="Tahoma" w:eastAsia="Times New Roman" w:hAnsi="Tahoma" w:cs="Tahoma"/>
          <w:bCs/>
          <w:color w:val="auto"/>
        </w:rPr>
        <w:t xml:space="preserve"> millones</w:t>
      </w:r>
      <w:r w:rsidRPr="00227F78">
        <w:rPr>
          <w:rFonts w:ascii="Tahoma" w:eastAsia="Times New Roman" w:hAnsi="Tahoma" w:cs="Tahoma"/>
          <w:bCs/>
          <w:color w:val="auto"/>
        </w:rPr>
        <w:t xml:space="preserve">,  equivalentes a </w:t>
      </w:r>
      <w:r w:rsidR="00D34898" w:rsidRPr="00227F78">
        <w:rPr>
          <w:rFonts w:ascii="Tahoma" w:eastAsia="Times New Roman" w:hAnsi="Tahoma" w:cs="Tahoma"/>
          <w:bCs/>
          <w:color w:val="auto"/>
        </w:rPr>
        <w:t>150</w:t>
      </w:r>
      <w:r w:rsidRPr="00227F78">
        <w:rPr>
          <w:rFonts w:ascii="Tahoma" w:eastAsia="Times New Roman" w:hAnsi="Tahoma" w:cs="Tahoma"/>
          <w:bCs/>
          <w:color w:val="auto"/>
        </w:rPr>
        <w:t xml:space="preserve"> SM</w:t>
      </w:r>
      <w:r w:rsidR="00D34898" w:rsidRPr="00227F78">
        <w:rPr>
          <w:rFonts w:ascii="Tahoma" w:eastAsia="Times New Roman" w:hAnsi="Tahoma" w:cs="Tahoma"/>
          <w:bCs/>
          <w:color w:val="auto"/>
        </w:rPr>
        <w:t>M</w:t>
      </w:r>
      <w:r w:rsidR="00425FF4" w:rsidRPr="00227F78">
        <w:rPr>
          <w:rFonts w:ascii="Tahoma" w:eastAsia="Times New Roman" w:hAnsi="Tahoma" w:cs="Tahoma"/>
          <w:bCs/>
          <w:color w:val="auto"/>
        </w:rPr>
        <w:t>V, ver tabla.</w:t>
      </w:r>
    </w:p>
    <w:p w:rsidR="00425FF4" w:rsidRPr="00A05F58" w:rsidRDefault="00425FF4" w:rsidP="004B7B3F">
      <w:pPr>
        <w:spacing w:before="0" w:after="0"/>
        <w:jc w:val="both"/>
        <w:rPr>
          <w:rFonts w:eastAsia="Times New Roman"/>
          <w:bCs/>
          <w:color w:val="auto"/>
          <w:sz w:val="20"/>
          <w:szCs w:val="20"/>
        </w:rPr>
      </w:pPr>
    </w:p>
    <w:p w:rsidR="00B212CE" w:rsidRPr="00776215" w:rsidRDefault="00B212CE" w:rsidP="00B212CE">
      <w:pPr>
        <w:jc w:val="center"/>
        <w:rPr>
          <w:rFonts w:ascii="Tahoma" w:hAnsi="Tahoma" w:cs="Tahoma"/>
          <w:lang w:val="es-ES" w:eastAsia="es-ES"/>
        </w:rPr>
      </w:pPr>
    </w:p>
    <w:p w:rsidR="00FC66AC" w:rsidRDefault="00FC66AC" w:rsidP="00B212CE">
      <w:pPr>
        <w:spacing w:before="0" w:after="0"/>
        <w:jc w:val="center"/>
        <w:rPr>
          <w:rFonts w:ascii="Tahoma" w:hAnsi="Tahoma" w:cs="Tahoma"/>
          <w:b/>
        </w:rPr>
      </w:pPr>
    </w:p>
    <w:p w:rsidR="00B212CE" w:rsidRPr="00776215" w:rsidRDefault="00B212CE" w:rsidP="00B212CE">
      <w:pPr>
        <w:spacing w:before="0" w:after="0"/>
        <w:jc w:val="center"/>
        <w:rPr>
          <w:rFonts w:ascii="Tahoma" w:hAnsi="Tahoma" w:cs="Tahoma"/>
          <w:b/>
        </w:rPr>
      </w:pPr>
      <w:r w:rsidRPr="00776215">
        <w:rPr>
          <w:rFonts w:ascii="Tahoma" w:hAnsi="Tahoma" w:cs="Tahoma"/>
          <w:b/>
        </w:rPr>
        <w:t>CAPITULO 4</w:t>
      </w:r>
    </w:p>
    <w:p w:rsidR="008C7A2F" w:rsidRPr="00776215" w:rsidRDefault="008C7A2F" w:rsidP="00B212CE">
      <w:pPr>
        <w:spacing w:before="0" w:after="0"/>
        <w:jc w:val="center"/>
        <w:rPr>
          <w:rFonts w:ascii="Tahoma" w:hAnsi="Tahoma" w:cs="Tahoma"/>
          <w:b/>
        </w:rPr>
      </w:pPr>
      <w:r w:rsidRPr="00776215">
        <w:rPr>
          <w:rFonts w:ascii="Tahoma" w:hAnsi="Tahoma" w:cs="Tahoma"/>
          <w:b/>
        </w:rPr>
        <w:t>RESULTADO ANALISIS</w:t>
      </w:r>
    </w:p>
    <w:p w:rsidR="00776215" w:rsidRPr="00776215" w:rsidRDefault="00776215" w:rsidP="00B212CE">
      <w:pPr>
        <w:spacing w:before="0" w:after="0"/>
        <w:jc w:val="center"/>
        <w:rPr>
          <w:rFonts w:ascii="Tahoma" w:hAnsi="Tahoma" w:cs="Tahoma"/>
          <w:b/>
        </w:rPr>
      </w:pPr>
    </w:p>
    <w:p w:rsidR="00477304" w:rsidRPr="00CA76CA" w:rsidRDefault="008C7A2F" w:rsidP="00B212CE">
      <w:pPr>
        <w:rPr>
          <w:rFonts w:ascii="Tahoma" w:hAnsi="Tahoma" w:cs="Tahoma"/>
          <w:b/>
        </w:rPr>
      </w:pPr>
      <w:r w:rsidRPr="00776215">
        <w:rPr>
          <w:rFonts w:ascii="Tahoma" w:hAnsi="Tahoma" w:cs="Tahoma"/>
          <w:b/>
          <w:lang w:val="es-ES" w:eastAsia="es-ES"/>
        </w:rPr>
        <w:t xml:space="preserve">4.1  </w:t>
      </w:r>
      <w:r w:rsidRPr="00CA76CA">
        <w:rPr>
          <w:rFonts w:ascii="Tahoma" w:hAnsi="Tahoma" w:cs="Tahoma"/>
          <w:b/>
        </w:rPr>
        <w:t>RESULTADO ANALISIS PRESUPUESTAL</w:t>
      </w:r>
    </w:p>
    <w:p w:rsidR="008C7A2F" w:rsidRPr="00CA76CA" w:rsidRDefault="008C7A2F" w:rsidP="00B212CE">
      <w:pPr>
        <w:rPr>
          <w:rFonts w:ascii="Tahoma" w:hAnsi="Tahoma" w:cs="Tahoma"/>
        </w:rPr>
      </w:pPr>
    </w:p>
    <w:p w:rsidR="008C7A2F" w:rsidRPr="00CA76CA" w:rsidRDefault="008C7A2F" w:rsidP="00776215">
      <w:pPr>
        <w:jc w:val="both"/>
        <w:rPr>
          <w:rFonts w:ascii="Tahoma" w:hAnsi="Tahoma" w:cs="Tahoma"/>
        </w:rPr>
      </w:pPr>
      <w:r w:rsidRPr="00CA76CA">
        <w:rPr>
          <w:rFonts w:ascii="Tahoma" w:hAnsi="Tahoma" w:cs="Tahoma"/>
        </w:rPr>
        <w:t xml:space="preserve">Una vez analizada la información presupuestal del municipio de </w:t>
      </w:r>
      <w:r w:rsidR="00A77968">
        <w:rPr>
          <w:rFonts w:ascii="Tahoma" w:hAnsi="Tahoma" w:cs="Tahoma"/>
        </w:rPr>
        <w:t>A</w:t>
      </w:r>
      <w:r w:rsidR="000D34F0">
        <w:rPr>
          <w:rFonts w:ascii="Tahoma" w:hAnsi="Tahoma" w:cs="Tahoma"/>
        </w:rPr>
        <w:t>mbalema</w:t>
      </w:r>
      <w:r w:rsidRPr="00CA76CA">
        <w:rPr>
          <w:rFonts w:ascii="Tahoma" w:hAnsi="Tahoma" w:cs="Tahoma"/>
        </w:rPr>
        <w:t xml:space="preserve"> </w:t>
      </w:r>
      <w:r w:rsidR="004F7914" w:rsidRPr="00CA76CA">
        <w:rPr>
          <w:rFonts w:ascii="Tahoma" w:hAnsi="Tahoma" w:cs="Tahoma"/>
        </w:rPr>
        <w:t xml:space="preserve">a Diciembre 31 de 2015, </w:t>
      </w:r>
      <w:r w:rsidRPr="00CA76CA">
        <w:rPr>
          <w:rFonts w:ascii="Tahoma" w:hAnsi="Tahoma" w:cs="Tahoma"/>
        </w:rPr>
        <w:t xml:space="preserve">se </w:t>
      </w:r>
      <w:r w:rsidR="004F7914" w:rsidRPr="00CA76CA">
        <w:rPr>
          <w:rFonts w:ascii="Tahoma" w:hAnsi="Tahoma" w:cs="Tahoma"/>
        </w:rPr>
        <w:t xml:space="preserve">evidenció que el ente Territorial, presentó </w:t>
      </w:r>
      <w:r w:rsidR="00B44FE7">
        <w:rPr>
          <w:rFonts w:ascii="Tahoma" w:hAnsi="Tahoma" w:cs="Tahoma"/>
        </w:rPr>
        <w:t xml:space="preserve">un  </w:t>
      </w:r>
      <w:r w:rsidR="000D34F0">
        <w:rPr>
          <w:rFonts w:ascii="Tahoma" w:hAnsi="Tahoma" w:cs="Tahoma"/>
        </w:rPr>
        <w:t>Défici</w:t>
      </w:r>
      <w:r w:rsidR="00B44FE7">
        <w:rPr>
          <w:rFonts w:ascii="Tahoma" w:hAnsi="Tahoma" w:cs="Tahoma"/>
        </w:rPr>
        <w:t>t</w:t>
      </w:r>
      <w:r w:rsidR="004F7914" w:rsidRPr="00CA76CA">
        <w:rPr>
          <w:rFonts w:ascii="Tahoma" w:hAnsi="Tahoma" w:cs="Tahoma"/>
        </w:rPr>
        <w:t xml:space="preserve"> presupuestal en la suma de $</w:t>
      </w:r>
      <w:r w:rsidR="000D34F0">
        <w:rPr>
          <w:rFonts w:ascii="Tahoma" w:hAnsi="Tahoma" w:cs="Tahoma"/>
        </w:rPr>
        <w:t>869.061.080</w:t>
      </w:r>
      <w:r w:rsidR="00A77968">
        <w:rPr>
          <w:rFonts w:ascii="Tahoma" w:hAnsi="Tahoma" w:cs="Tahoma"/>
        </w:rPr>
        <w:t>.</w:t>
      </w:r>
      <w:r w:rsidR="004F7914" w:rsidRPr="00CA76CA">
        <w:rPr>
          <w:rFonts w:ascii="Tahoma" w:hAnsi="Tahoma" w:cs="Tahoma"/>
        </w:rPr>
        <w:t>oo, toda vez que el Total de los Gastos comprometidos</w:t>
      </w:r>
      <w:r w:rsidR="00E52376">
        <w:rPr>
          <w:rFonts w:ascii="Tahoma" w:hAnsi="Tahoma" w:cs="Tahoma"/>
        </w:rPr>
        <w:t xml:space="preserve"> de la vigencia</w:t>
      </w:r>
      <w:r w:rsidR="004F7914" w:rsidRPr="00CA76CA">
        <w:rPr>
          <w:rFonts w:ascii="Tahoma" w:hAnsi="Tahoma" w:cs="Tahoma"/>
        </w:rPr>
        <w:t>,  fueron m</w:t>
      </w:r>
      <w:r w:rsidR="0000509C">
        <w:rPr>
          <w:rFonts w:ascii="Tahoma" w:hAnsi="Tahoma" w:cs="Tahoma"/>
        </w:rPr>
        <w:t>enor</w:t>
      </w:r>
      <w:r w:rsidR="004F7914" w:rsidRPr="00CA76CA">
        <w:rPr>
          <w:rFonts w:ascii="Tahoma" w:hAnsi="Tahoma" w:cs="Tahoma"/>
        </w:rPr>
        <w:t>es a los ingresos efectivamente recaudados.  Ver Tabla.</w:t>
      </w:r>
    </w:p>
    <w:p w:rsidR="008C7A2F" w:rsidRDefault="008C7A2F" w:rsidP="00B212CE"/>
    <w:tbl>
      <w:tblPr>
        <w:tblW w:w="5980" w:type="dxa"/>
        <w:jc w:val="center"/>
        <w:tblCellMar>
          <w:left w:w="70" w:type="dxa"/>
          <w:right w:w="70" w:type="dxa"/>
        </w:tblCellMar>
        <w:tblLook w:val="04A0" w:firstRow="1" w:lastRow="0" w:firstColumn="1" w:lastColumn="0" w:noHBand="0" w:noVBand="1"/>
      </w:tblPr>
      <w:tblGrid>
        <w:gridCol w:w="2480"/>
        <w:gridCol w:w="1820"/>
        <w:gridCol w:w="1680"/>
      </w:tblGrid>
      <w:tr w:rsidR="00B44FE7" w:rsidRPr="00B44FE7" w:rsidTr="00B44FE7">
        <w:trPr>
          <w:trHeight w:val="792"/>
          <w:jc w:val="center"/>
        </w:trPr>
        <w:tc>
          <w:tcPr>
            <w:tcW w:w="24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4FE7" w:rsidRPr="00B44FE7" w:rsidRDefault="00B44FE7" w:rsidP="00B44FE7">
            <w:pPr>
              <w:spacing w:before="0" w:after="0"/>
              <w:jc w:val="center"/>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INGRESOS</w:t>
            </w:r>
            <w:r w:rsidRPr="00B44FE7">
              <w:rPr>
                <w:rFonts w:ascii="Tahoma" w:eastAsia="Times New Roman" w:hAnsi="Tahoma" w:cs="Tahoma"/>
                <w:color w:val="auto"/>
                <w:sz w:val="20"/>
                <w:szCs w:val="20"/>
              </w:rPr>
              <w:br/>
              <w:t xml:space="preserve">EFECTIVAMENTE RECAUDADOS </w:t>
            </w:r>
          </w:p>
        </w:tc>
        <w:tc>
          <w:tcPr>
            <w:tcW w:w="1820" w:type="dxa"/>
            <w:tcBorders>
              <w:top w:val="single" w:sz="4" w:space="0" w:color="auto"/>
              <w:left w:val="nil"/>
              <w:bottom w:val="single" w:sz="4" w:space="0" w:color="auto"/>
              <w:right w:val="single" w:sz="4" w:space="0" w:color="auto"/>
            </w:tcBorders>
            <w:shd w:val="clear" w:color="auto" w:fill="auto"/>
            <w:vAlign w:val="bottom"/>
            <w:hideMark/>
          </w:tcPr>
          <w:p w:rsidR="00B44FE7" w:rsidRPr="00B44FE7" w:rsidRDefault="00B44FE7" w:rsidP="00B44FE7">
            <w:pPr>
              <w:spacing w:before="0" w:after="0"/>
              <w:jc w:val="center"/>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GASTOS EFECTIVAMENTE COMPROMETIDOS </w:t>
            </w:r>
          </w:p>
        </w:tc>
        <w:tc>
          <w:tcPr>
            <w:tcW w:w="1680" w:type="dxa"/>
            <w:tcBorders>
              <w:top w:val="single" w:sz="4" w:space="0" w:color="auto"/>
              <w:left w:val="nil"/>
              <w:bottom w:val="single" w:sz="4" w:space="0" w:color="auto"/>
              <w:right w:val="single" w:sz="4" w:space="0" w:color="auto"/>
            </w:tcBorders>
            <w:shd w:val="clear" w:color="auto" w:fill="auto"/>
            <w:vAlign w:val="bottom"/>
            <w:hideMark/>
          </w:tcPr>
          <w:p w:rsidR="00B44FE7" w:rsidRPr="00B44FE7" w:rsidRDefault="00B44FE7" w:rsidP="00B44FE7">
            <w:pPr>
              <w:spacing w:before="0" w:after="0"/>
              <w:jc w:val="center"/>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DEFICIT  O  SUPERAVIT</w:t>
            </w:r>
            <w:r w:rsidRPr="00B44FE7">
              <w:rPr>
                <w:rFonts w:ascii="Tahoma" w:eastAsia="Times New Roman" w:hAnsi="Tahoma" w:cs="Tahoma"/>
                <w:color w:val="auto"/>
                <w:sz w:val="20"/>
                <w:szCs w:val="20"/>
              </w:rPr>
              <w:br/>
              <w:t xml:space="preserve">PRESUPUESTAL </w:t>
            </w:r>
          </w:p>
        </w:tc>
      </w:tr>
      <w:tr w:rsidR="00B44FE7" w:rsidRPr="00B44FE7" w:rsidTr="00B44FE7">
        <w:trPr>
          <w:trHeight w:val="264"/>
          <w:jc w:val="center"/>
        </w:trPr>
        <w:tc>
          <w:tcPr>
            <w:tcW w:w="2480" w:type="dxa"/>
            <w:tcBorders>
              <w:top w:val="nil"/>
              <w:left w:val="single" w:sz="4" w:space="0" w:color="auto"/>
              <w:bottom w:val="single" w:sz="4" w:space="0" w:color="auto"/>
              <w:right w:val="single" w:sz="4" w:space="0" w:color="auto"/>
            </w:tcBorders>
            <w:shd w:val="clear" w:color="auto" w:fill="auto"/>
            <w:noWrap/>
            <w:vAlign w:val="bottom"/>
            <w:hideMark/>
          </w:tcPr>
          <w:p w:rsidR="00B44FE7" w:rsidRPr="00B44FE7" w:rsidRDefault="00B44FE7" w:rsidP="000D34F0">
            <w:pPr>
              <w:spacing w:before="0" w:after="0"/>
              <w:jc w:val="right"/>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w:t>
            </w:r>
            <w:r>
              <w:rPr>
                <w:rFonts w:ascii="Tahoma" w:eastAsia="Times New Roman" w:hAnsi="Tahoma" w:cs="Tahoma"/>
                <w:color w:val="auto"/>
                <w:sz w:val="20"/>
                <w:szCs w:val="20"/>
              </w:rPr>
              <w:t>$</w:t>
            </w:r>
            <w:r w:rsidR="000D34F0">
              <w:rPr>
                <w:rFonts w:ascii="Tahoma" w:eastAsia="Times New Roman" w:hAnsi="Tahoma" w:cs="Tahoma"/>
                <w:color w:val="auto"/>
                <w:sz w:val="20"/>
                <w:szCs w:val="20"/>
              </w:rPr>
              <w:t>8.081.607.581</w:t>
            </w:r>
            <w:r w:rsidRPr="00B44FE7">
              <w:rPr>
                <w:rFonts w:ascii="Tahoma" w:eastAsia="Times New Roman" w:hAnsi="Tahoma" w:cs="Tahoma"/>
                <w:color w:val="auto"/>
                <w:sz w:val="20"/>
                <w:szCs w:val="20"/>
              </w:rPr>
              <w:t xml:space="preserve"> </w:t>
            </w:r>
          </w:p>
        </w:tc>
        <w:tc>
          <w:tcPr>
            <w:tcW w:w="1820" w:type="dxa"/>
            <w:tcBorders>
              <w:top w:val="nil"/>
              <w:left w:val="nil"/>
              <w:bottom w:val="single" w:sz="4" w:space="0" w:color="auto"/>
              <w:right w:val="single" w:sz="4" w:space="0" w:color="auto"/>
            </w:tcBorders>
            <w:shd w:val="clear" w:color="auto" w:fill="auto"/>
            <w:noWrap/>
            <w:vAlign w:val="bottom"/>
            <w:hideMark/>
          </w:tcPr>
          <w:p w:rsidR="00B44FE7" w:rsidRPr="00B44FE7" w:rsidRDefault="00B44FE7" w:rsidP="000D34F0">
            <w:pPr>
              <w:spacing w:before="0" w:after="0"/>
              <w:jc w:val="right"/>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w:t>
            </w:r>
            <w:r>
              <w:rPr>
                <w:rFonts w:ascii="Tahoma" w:eastAsia="Times New Roman" w:hAnsi="Tahoma" w:cs="Tahoma"/>
                <w:color w:val="auto"/>
                <w:sz w:val="20"/>
                <w:szCs w:val="20"/>
              </w:rPr>
              <w:t>$</w:t>
            </w:r>
            <w:r w:rsidR="000D34F0">
              <w:rPr>
                <w:rFonts w:ascii="Tahoma" w:eastAsia="Times New Roman" w:hAnsi="Tahoma" w:cs="Tahoma"/>
                <w:color w:val="auto"/>
                <w:sz w:val="20"/>
                <w:szCs w:val="20"/>
              </w:rPr>
              <w:t>8.950.668.661</w:t>
            </w:r>
            <w:r w:rsidRPr="00B44FE7">
              <w:rPr>
                <w:rFonts w:ascii="Tahoma" w:eastAsia="Times New Roman" w:hAnsi="Tahoma" w:cs="Tahoma"/>
                <w:color w:val="auto"/>
                <w:sz w:val="20"/>
                <w:szCs w:val="20"/>
              </w:rPr>
              <w:t xml:space="preserve"> </w:t>
            </w:r>
          </w:p>
        </w:tc>
        <w:tc>
          <w:tcPr>
            <w:tcW w:w="1680" w:type="dxa"/>
            <w:tcBorders>
              <w:top w:val="nil"/>
              <w:left w:val="nil"/>
              <w:bottom w:val="single" w:sz="4" w:space="0" w:color="auto"/>
              <w:right w:val="single" w:sz="4" w:space="0" w:color="auto"/>
            </w:tcBorders>
            <w:shd w:val="clear" w:color="auto" w:fill="auto"/>
            <w:noWrap/>
            <w:vAlign w:val="bottom"/>
            <w:hideMark/>
          </w:tcPr>
          <w:p w:rsidR="00B44FE7" w:rsidRPr="00B44FE7" w:rsidRDefault="00B44FE7" w:rsidP="000D34F0">
            <w:pPr>
              <w:spacing w:before="0" w:after="0"/>
              <w:jc w:val="right"/>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w:t>
            </w:r>
            <w:r>
              <w:rPr>
                <w:rFonts w:ascii="Tahoma" w:eastAsia="Times New Roman" w:hAnsi="Tahoma" w:cs="Tahoma"/>
                <w:color w:val="auto"/>
                <w:sz w:val="20"/>
                <w:szCs w:val="20"/>
              </w:rPr>
              <w:t>$</w:t>
            </w:r>
            <w:r w:rsidR="000D34F0">
              <w:rPr>
                <w:rFonts w:ascii="Tahoma" w:eastAsia="Times New Roman" w:hAnsi="Tahoma" w:cs="Tahoma"/>
                <w:color w:val="auto"/>
                <w:sz w:val="20"/>
                <w:szCs w:val="20"/>
              </w:rPr>
              <w:t>869.061.080</w:t>
            </w:r>
            <w:r w:rsidRPr="00B44FE7">
              <w:rPr>
                <w:rFonts w:ascii="Tahoma" w:eastAsia="Times New Roman" w:hAnsi="Tahoma" w:cs="Tahoma"/>
                <w:color w:val="auto"/>
                <w:sz w:val="20"/>
                <w:szCs w:val="20"/>
              </w:rPr>
              <w:t xml:space="preserve"> </w:t>
            </w:r>
          </w:p>
        </w:tc>
      </w:tr>
    </w:tbl>
    <w:p w:rsidR="00477304" w:rsidRDefault="00477304" w:rsidP="00B212CE"/>
    <w:p w:rsidR="005C0DCB" w:rsidRDefault="00BD4C82" w:rsidP="0045772A">
      <w:pPr>
        <w:jc w:val="both"/>
        <w:rPr>
          <w:rFonts w:ascii="Tahoma" w:hAnsi="Tahoma" w:cs="Tahoma"/>
          <w:b/>
          <w:sz w:val="16"/>
        </w:rPr>
      </w:pPr>
      <w:r w:rsidRPr="00CA76CA">
        <w:rPr>
          <w:rFonts w:ascii="Tahoma" w:hAnsi="Tahoma" w:cs="Tahoma"/>
        </w:rPr>
        <w:t xml:space="preserve">El conocimiento oportuno y preciso de los resultados de la gestión de los recursos públicos durante un período, es indispensable no sólo para juzgar su pertinencia y eficiencia, sino también para tomar los correctivos orientados al logro de las metas fiscales y económicas propuestas. </w:t>
      </w:r>
      <w:r w:rsidR="004F7914" w:rsidRPr="00CA76CA">
        <w:rPr>
          <w:rFonts w:ascii="Tahoma" w:hAnsi="Tahoma" w:cs="Tahoma"/>
        </w:rPr>
        <w:t xml:space="preserve"> </w:t>
      </w:r>
      <w:r w:rsidR="005C0DCB">
        <w:rPr>
          <w:rFonts w:ascii="Tahoma" w:hAnsi="Tahoma" w:cs="Tahoma"/>
          <w:b/>
          <w:sz w:val="16"/>
        </w:rPr>
        <w:tab/>
      </w:r>
    </w:p>
    <w:sectPr w:rsidR="005C0DCB" w:rsidSect="005F4548">
      <w:headerReference w:type="default" r:id="rId20"/>
      <w:footerReference w:type="default" r:id="rId21"/>
      <w:pgSz w:w="12242" w:h="15842" w:code="1"/>
      <w:pgMar w:top="1985" w:right="1701" w:bottom="1417" w:left="1701" w:header="57" w:footer="191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1A1" w:rsidRDefault="00C401A1" w:rsidP="00650A99">
      <w:r>
        <w:separator/>
      </w:r>
    </w:p>
  </w:endnote>
  <w:endnote w:type="continuationSeparator" w:id="0">
    <w:p w:rsidR="00C401A1" w:rsidRDefault="00C401A1" w:rsidP="00650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FDB" w:rsidRPr="00070555" w:rsidRDefault="00763FDB">
    <w:pPr>
      <w:pStyle w:val="Piedepgina"/>
      <w:rPr>
        <w:rFonts w:ascii="Tahoma" w:hAnsi="Tahoma" w:cs="Tahoma"/>
        <w:sz w:val="14"/>
        <w:szCs w:val="20"/>
      </w:rPr>
    </w:pPr>
    <w:r w:rsidRPr="00070555">
      <w:rPr>
        <w:rFonts w:ascii="Tahoma" w:hAnsi="Tahoma" w:cs="Tahoma"/>
        <w:noProof/>
        <w:sz w:val="18"/>
        <w:szCs w:val="18"/>
      </w:rPr>
      <mc:AlternateContent>
        <mc:Choice Requires="wps">
          <w:drawing>
            <wp:anchor distT="0" distB="0" distL="114300" distR="114300" simplePos="0" relativeHeight="251666432" behindDoc="0" locked="0" layoutInCell="1" allowOverlap="1" wp14:anchorId="4DBCDECC" wp14:editId="61BC0D73">
              <wp:simplePos x="0" y="0"/>
              <wp:positionH relativeFrom="column">
                <wp:posOffset>-157480</wp:posOffset>
              </wp:positionH>
              <wp:positionV relativeFrom="paragraph">
                <wp:posOffset>88265</wp:posOffset>
              </wp:positionV>
              <wp:extent cx="2827020" cy="1309370"/>
              <wp:effectExtent l="0" t="0" r="0" b="5080"/>
              <wp:wrapNone/>
              <wp:docPr id="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7020" cy="1309370"/>
                      </a:xfrm>
                      <a:prstGeom prst="rect">
                        <a:avLst/>
                      </a:prstGeom>
                      <a:noFill/>
                      <a:ln w="9525">
                        <a:noFill/>
                        <a:miter lim="800000"/>
                        <a:headEnd/>
                        <a:tailEnd/>
                      </a:ln>
                    </wps:spPr>
                    <wps:txbx>
                      <w:txbxContent>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________________________________________</w:t>
                          </w:r>
                        </w:p>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763FDB" w:rsidRPr="00BB3D88"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763FDB" w:rsidRPr="003205FF" w:rsidRDefault="007B0051"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1" w:history="1">
                            <w:r w:rsidR="00763FDB" w:rsidRPr="003205FF">
                              <w:rPr>
                                <w:rStyle w:val="Hipervnculo"/>
                                <w:rFonts w:ascii="Tahoma" w:hAnsi="Tahoma" w:cs="Tahoma"/>
                                <w:color w:val="auto"/>
                                <w:sz w:val="18"/>
                                <w:szCs w:val="18"/>
                                <w:u w:val="none"/>
                              </w:rPr>
                              <w:t>despacho.contraloria@contraloriatolima.gov.co</w:t>
                            </w:r>
                          </w:hyperlink>
                        </w:p>
                        <w:p w:rsidR="00763FDB" w:rsidRPr="000352F0" w:rsidRDefault="00763FDB"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 xml:space="preserve">Web-Site:  </w:t>
                          </w:r>
                          <w:hyperlink r:id="rId2" w:history="1">
                            <w:r w:rsidRPr="000352F0">
                              <w:rPr>
                                <w:rStyle w:val="Hipervnculo"/>
                                <w:rFonts w:ascii="Tahoma" w:hAnsi="Tahoma" w:cs="Tahoma"/>
                                <w:color w:val="auto"/>
                                <w:sz w:val="18"/>
                                <w:szCs w:val="18"/>
                                <w:u w:val="none"/>
                              </w:rPr>
                              <w:t>www.contraloriatolima.gov.co</w:t>
                            </w:r>
                          </w:hyperlink>
                        </w:p>
                        <w:p w:rsidR="00763FDB" w:rsidRPr="00BB3D88" w:rsidRDefault="00763FDB"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763FDB" w:rsidRPr="00A926CE" w:rsidRDefault="00763FDB"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BCDECC" id="_x0000_t202" coordsize="21600,21600" o:spt="202" path="m,l,21600r21600,l21600,xe">
              <v:stroke joinstyle="miter"/>
              <v:path gradientshapeok="t" o:connecttype="rect"/>
            </v:shapetype>
            <v:shape id="Cuadro de texto 2" o:spid="_x0000_s1026" type="#_x0000_t202" style="position:absolute;margin-left:-12.4pt;margin-top:6.95pt;width:222.6pt;height:103.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" filled="f" stroked="f">
              <v:textbox>
                <w:txbxContent>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________________________________________</w:t>
                    </w:r>
                  </w:p>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763FDB" w:rsidRPr="00BB3D88"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763FDB" w:rsidRPr="003205FF" w:rsidRDefault="007B0051"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3" w:history="1">
                      <w:r w:rsidR="00763FDB" w:rsidRPr="003205FF">
                        <w:rPr>
                          <w:rStyle w:val="Hipervnculo"/>
                          <w:rFonts w:ascii="Tahoma" w:hAnsi="Tahoma" w:cs="Tahoma"/>
                          <w:color w:val="auto"/>
                          <w:sz w:val="18"/>
                          <w:szCs w:val="18"/>
                          <w:u w:val="none"/>
                        </w:rPr>
                        <w:t>despacho.contraloria@contraloriatolima.gov.co</w:t>
                      </w:r>
                    </w:hyperlink>
                  </w:p>
                  <w:p w:rsidR="00763FDB" w:rsidRPr="000352F0" w:rsidRDefault="00763FDB"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 xml:space="preserve">Web-Site:  </w:t>
                    </w:r>
                    <w:hyperlink r:id="rId4" w:history="1">
                      <w:r w:rsidRPr="000352F0">
                        <w:rPr>
                          <w:rStyle w:val="Hipervnculo"/>
                          <w:rFonts w:ascii="Tahoma" w:hAnsi="Tahoma" w:cs="Tahoma"/>
                          <w:color w:val="auto"/>
                          <w:sz w:val="18"/>
                          <w:szCs w:val="18"/>
                          <w:u w:val="none"/>
                        </w:rPr>
                        <w:t>www.contraloriatolima.gov.co</w:t>
                      </w:r>
                    </w:hyperlink>
                  </w:p>
                  <w:p w:rsidR="00763FDB" w:rsidRPr="00BB3D88" w:rsidRDefault="00763FDB"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763FDB" w:rsidRPr="00A926CE" w:rsidRDefault="00763FDB"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v:textbox>
            </v:shape>
          </w:pict>
        </mc:Fallback>
      </mc:AlternateContent>
    </w:r>
    <w:r w:rsidRPr="00070555">
      <w:rPr>
        <w:rFonts w:ascii="Tahoma" w:hAnsi="Tahoma" w:cs="Tahoma"/>
        <w:noProof/>
        <w:sz w:val="14"/>
        <w:szCs w:val="20"/>
      </w:rPr>
      <mc:AlternateContent>
        <mc:Choice Requires="wps">
          <w:drawing>
            <wp:anchor distT="0" distB="0" distL="114300" distR="114300" simplePos="0" relativeHeight="251668480" behindDoc="0" locked="0" layoutInCell="1" allowOverlap="1" wp14:anchorId="065CF0B6" wp14:editId="368B3A3A">
              <wp:simplePos x="0" y="0"/>
              <wp:positionH relativeFrom="column">
                <wp:posOffset>2510790</wp:posOffset>
              </wp:positionH>
              <wp:positionV relativeFrom="paragraph">
                <wp:posOffset>28575</wp:posOffset>
              </wp:positionV>
              <wp:extent cx="1190625" cy="297815"/>
              <wp:effectExtent l="0" t="0" r="0" b="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297815"/>
                      </a:xfrm>
                      <a:prstGeom prst="rect">
                        <a:avLst/>
                      </a:prstGeom>
                      <a:noFill/>
                      <a:ln w="9525">
                        <a:noFill/>
                        <a:miter lim="800000"/>
                        <a:headEnd/>
                        <a:tailEnd/>
                      </a:ln>
                    </wps:spPr>
                    <wps:txbx>
                      <w:txbxContent>
                        <w:p w:rsidR="00763FDB" w:rsidRPr="003205FF" w:rsidRDefault="00B07062" w:rsidP="00B6483D">
                          <w:pPr>
                            <w:jc w:val="center"/>
                            <w:rPr>
                              <w:rFonts w:ascii="Tahoma" w:hAnsi="Tahoma" w:cs="Tahoma"/>
                              <w:sz w:val="14"/>
                              <w:szCs w:val="16"/>
                            </w:rPr>
                          </w:pPr>
                          <w:r>
                            <w:rPr>
                              <w:rFonts w:ascii="Tahoma" w:hAnsi="Tahoma" w:cs="Tahoma"/>
                              <w:sz w:val="14"/>
                              <w:szCs w:val="16"/>
                            </w:rPr>
                            <w:t>2</w:t>
                          </w:r>
                          <w:r w:rsidR="00763FDB" w:rsidRPr="003205FF">
                            <w:rPr>
                              <w:rFonts w:ascii="Tahoma" w:hAnsi="Tahoma" w:cs="Tahoma"/>
                              <w:sz w:val="12"/>
                              <w:szCs w:val="16"/>
                              <w:lang w:val="es-ES"/>
                            </w:rPr>
                            <w:t xml:space="preserve"> de </w:t>
                          </w:r>
                          <w:r w:rsidR="00763FDB" w:rsidRPr="003205FF">
                            <w:rPr>
                              <w:rFonts w:ascii="Tahoma" w:hAnsi="Tahoma" w:cs="Tahoma"/>
                              <w:sz w:val="14"/>
                              <w:szCs w:val="16"/>
                            </w:rPr>
                            <w:fldChar w:fldCharType="begin"/>
                          </w:r>
                          <w:r w:rsidR="00763FDB" w:rsidRPr="003205FF">
                            <w:rPr>
                              <w:rFonts w:ascii="Tahoma" w:hAnsi="Tahoma" w:cs="Tahoma"/>
                              <w:sz w:val="14"/>
                              <w:szCs w:val="16"/>
                            </w:rPr>
                            <w:instrText>NUMPAGES  \* Arabic  \* MERGEFORMAT</w:instrText>
                          </w:r>
                          <w:r w:rsidR="00763FDB" w:rsidRPr="003205FF">
                            <w:rPr>
                              <w:rFonts w:ascii="Tahoma" w:hAnsi="Tahoma" w:cs="Tahoma"/>
                              <w:sz w:val="14"/>
                              <w:szCs w:val="16"/>
                            </w:rPr>
                            <w:fldChar w:fldCharType="separate"/>
                          </w:r>
                          <w:r w:rsidR="007B0051" w:rsidRPr="007B0051">
                            <w:rPr>
                              <w:rFonts w:ascii="Tahoma" w:hAnsi="Tahoma" w:cs="Tahoma"/>
                              <w:noProof/>
                              <w:sz w:val="14"/>
                              <w:szCs w:val="16"/>
                              <w:lang w:val="es-ES"/>
                            </w:rPr>
                            <w:t>13</w:t>
                          </w:r>
                          <w:r w:rsidR="00763FDB" w:rsidRPr="003205FF">
                            <w:rPr>
                              <w:rFonts w:ascii="Tahoma" w:hAnsi="Tahoma" w:cs="Tahoma"/>
                              <w:sz w:val="14"/>
                              <w:szCs w:val="16"/>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5CF0B6" id="_x0000_s1027" type="#_x0000_t202" style="position:absolute;margin-left:197.7pt;margin-top:2.25pt;width:93.75pt;height:2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" filled="f" stroked="f">
              <v:textbox>
                <w:txbxContent>
                  <w:p w:rsidR="00763FDB" w:rsidRPr="003205FF" w:rsidRDefault="00B07062" w:rsidP="00B6483D">
                    <w:pPr>
                      <w:jc w:val="center"/>
                      <w:rPr>
                        <w:rFonts w:ascii="Tahoma" w:hAnsi="Tahoma" w:cs="Tahoma"/>
                        <w:sz w:val="14"/>
                        <w:szCs w:val="16"/>
                      </w:rPr>
                    </w:pPr>
                    <w:r>
                      <w:rPr>
                        <w:rFonts w:ascii="Tahoma" w:hAnsi="Tahoma" w:cs="Tahoma"/>
                        <w:sz w:val="14"/>
                        <w:szCs w:val="16"/>
                      </w:rPr>
                      <w:t>2</w:t>
                    </w:r>
                    <w:r w:rsidR="00763FDB" w:rsidRPr="003205FF">
                      <w:rPr>
                        <w:rFonts w:ascii="Tahoma" w:hAnsi="Tahoma" w:cs="Tahoma"/>
                        <w:sz w:val="12"/>
                        <w:szCs w:val="16"/>
                        <w:lang w:val="es-ES"/>
                      </w:rPr>
                      <w:t xml:space="preserve"> de </w:t>
                    </w:r>
                    <w:r w:rsidR="00763FDB" w:rsidRPr="003205FF">
                      <w:rPr>
                        <w:rFonts w:ascii="Tahoma" w:hAnsi="Tahoma" w:cs="Tahoma"/>
                        <w:sz w:val="14"/>
                        <w:szCs w:val="16"/>
                      </w:rPr>
                      <w:fldChar w:fldCharType="begin"/>
                    </w:r>
                    <w:r w:rsidR="00763FDB" w:rsidRPr="003205FF">
                      <w:rPr>
                        <w:rFonts w:ascii="Tahoma" w:hAnsi="Tahoma" w:cs="Tahoma"/>
                        <w:sz w:val="14"/>
                        <w:szCs w:val="16"/>
                      </w:rPr>
                      <w:instrText>NUMPAGES  \* Arabic  \* MERGEFORMAT</w:instrText>
                    </w:r>
                    <w:r w:rsidR="00763FDB" w:rsidRPr="003205FF">
                      <w:rPr>
                        <w:rFonts w:ascii="Tahoma" w:hAnsi="Tahoma" w:cs="Tahoma"/>
                        <w:sz w:val="14"/>
                        <w:szCs w:val="16"/>
                      </w:rPr>
                      <w:fldChar w:fldCharType="separate"/>
                    </w:r>
                    <w:r w:rsidR="007B0051" w:rsidRPr="007B0051">
                      <w:rPr>
                        <w:rFonts w:ascii="Tahoma" w:hAnsi="Tahoma" w:cs="Tahoma"/>
                        <w:noProof/>
                        <w:sz w:val="14"/>
                        <w:szCs w:val="16"/>
                        <w:lang w:val="es-ES"/>
                      </w:rPr>
                      <w:t>13</w:t>
                    </w:r>
                    <w:r w:rsidR="00763FDB" w:rsidRPr="003205FF">
                      <w:rPr>
                        <w:rFonts w:ascii="Tahoma" w:hAnsi="Tahoma" w:cs="Tahoma"/>
                        <w:sz w:val="14"/>
                        <w:szCs w:val="16"/>
                      </w:rPr>
                      <w:fldChar w:fldCharType="end"/>
                    </w:r>
                  </w:p>
                </w:txbxContent>
              </v:textbox>
            </v:shape>
          </w:pict>
        </mc:Fallback>
      </mc:AlternateContent>
    </w:r>
  </w:p>
  <w:p w:rsidR="00763FDB" w:rsidRPr="00070555" w:rsidRDefault="00763FDB">
    <w:pPr>
      <w:pStyle w:val="Piedepgina"/>
      <w:rPr>
        <w:rFonts w:ascii="Tahoma" w:hAnsi="Tahoma" w:cs="Tahom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1A1" w:rsidRDefault="00C401A1" w:rsidP="00650A99">
      <w:r>
        <w:separator/>
      </w:r>
    </w:p>
  </w:footnote>
  <w:footnote w:type="continuationSeparator" w:id="0">
    <w:p w:rsidR="00C401A1" w:rsidRDefault="00C401A1" w:rsidP="00650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FDB" w:rsidRPr="00124F58" w:rsidRDefault="002876A5">
    <w:pPr>
      <w:pStyle w:val="Encabezado"/>
      <w:rPr>
        <w:rFonts w:ascii="Tahoma" w:hAnsi="Tahoma" w:cs="Tahoma"/>
        <w:sz w:val="8"/>
      </w:rPr>
    </w:pPr>
    <w:r>
      <w:rPr>
        <w:rFonts w:ascii="Tahoma" w:hAnsi="Tahoma" w:cs="Tahoma"/>
        <w:noProof/>
        <w:sz w:val="8"/>
      </w:rPr>
      <w:drawing>
        <wp:inline distT="0" distB="0" distL="0" distR="0">
          <wp:extent cx="1571625" cy="1219200"/>
          <wp:effectExtent l="0" t="0" r="9525" b="0"/>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Contraloria.png"/>
                  <pic:cNvPicPr/>
                </pic:nvPicPr>
                <pic:blipFill>
                  <a:blip r:embed="rId1">
                    <a:extLst>
                      <a:ext uri="{28A0092B-C50C-407E-A947-70E740481C1C}">
                        <a14:useLocalDpi xmlns:a14="http://schemas.microsoft.com/office/drawing/2010/main" val="0"/>
                      </a:ext>
                    </a:extLst>
                  </a:blip>
                  <a:stretch>
                    <a:fillRect/>
                  </a:stretch>
                </pic:blipFill>
                <pic:spPr>
                  <a:xfrm>
                    <a:off x="0" y="0"/>
                    <a:ext cx="1571625" cy="1219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83920"/>
    <w:multiLevelType w:val="multilevel"/>
    <w:tmpl w:val="489AB9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
    <w:nsid w:val="0DB803C8"/>
    <w:multiLevelType w:val="multilevel"/>
    <w:tmpl w:val="489AB9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
    <w:nsid w:val="44803470"/>
    <w:multiLevelType w:val="multilevel"/>
    <w:tmpl w:val="DF4E518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5CD9317C"/>
    <w:multiLevelType w:val="multilevel"/>
    <w:tmpl w:val="44168D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A99"/>
    <w:rsid w:val="00001124"/>
    <w:rsid w:val="00001B0E"/>
    <w:rsid w:val="00003666"/>
    <w:rsid w:val="0000440B"/>
    <w:rsid w:val="0000466A"/>
    <w:rsid w:val="00004FE1"/>
    <w:rsid w:val="0000509C"/>
    <w:rsid w:val="00014DDB"/>
    <w:rsid w:val="000229B5"/>
    <w:rsid w:val="00025419"/>
    <w:rsid w:val="00025DD5"/>
    <w:rsid w:val="000344EC"/>
    <w:rsid w:val="0003468E"/>
    <w:rsid w:val="000352F0"/>
    <w:rsid w:val="0003642F"/>
    <w:rsid w:val="000366A8"/>
    <w:rsid w:val="000367BB"/>
    <w:rsid w:val="00040B1A"/>
    <w:rsid w:val="00043E5E"/>
    <w:rsid w:val="000448FA"/>
    <w:rsid w:val="00044B50"/>
    <w:rsid w:val="000479B3"/>
    <w:rsid w:val="00054A9B"/>
    <w:rsid w:val="00054CD9"/>
    <w:rsid w:val="0006131A"/>
    <w:rsid w:val="00062C97"/>
    <w:rsid w:val="000653AB"/>
    <w:rsid w:val="00070555"/>
    <w:rsid w:val="000711BD"/>
    <w:rsid w:val="000714F0"/>
    <w:rsid w:val="0007281C"/>
    <w:rsid w:val="00072FEB"/>
    <w:rsid w:val="00073152"/>
    <w:rsid w:val="00073B9C"/>
    <w:rsid w:val="000740A1"/>
    <w:rsid w:val="00074463"/>
    <w:rsid w:val="00075575"/>
    <w:rsid w:val="000768A7"/>
    <w:rsid w:val="00081209"/>
    <w:rsid w:val="00081BF9"/>
    <w:rsid w:val="000820BD"/>
    <w:rsid w:val="00084A9E"/>
    <w:rsid w:val="00084FFA"/>
    <w:rsid w:val="00092425"/>
    <w:rsid w:val="00093AFB"/>
    <w:rsid w:val="00094D4C"/>
    <w:rsid w:val="000A1063"/>
    <w:rsid w:val="000B1067"/>
    <w:rsid w:val="000B2584"/>
    <w:rsid w:val="000B334F"/>
    <w:rsid w:val="000B45AA"/>
    <w:rsid w:val="000B79B3"/>
    <w:rsid w:val="000C19B8"/>
    <w:rsid w:val="000C2D28"/>
    <w:rsid w:val="000C524A"/>
    <w:rsid w:val="000C640F"/>
    <w:rsid w:val="000C699D"/>
    <w:rsid w:val="000D251E"/>
    <w:rsid w:val="000D2896"/>
    <w:rsid w:val="000D34F0"/>
    <w:rsid w:val="000D715E"/>
    <w:rsid w:val="000D734C"/>
    <w:rsid w:val="000E117C"/>
    <w:rsid w:val="000E1A99"/>
    <w:rsid w:val="000E644B"/>
    <w:rsid w:val="000E6AAA"/>
    <w:rsid w:val="000F17B4"/>
    <w:rsid w:val="000F2E89"/>
    <w:rsid w:val="000F4FA1"/>
    <w:rsid w:val="000F5879"/>
    <w:rsid w:val="000F669B"/>
    <w:rsid w:val="0010414B"/>
    <w:rsid w:val="001055EC"/>
    <w:rsid w:val="001076B9"/>
    <w:rsid w:val="001077DC"/>
    <w:rsid w:val="00111B97"/>
    <w:rsid w:val="00113518"/>
    <w:rsid w:val="00120691"/>
    <w:rsid w:val="001206EF"/>
    <w:rsid w:val="00124F58"/>
    <w:rsid w:val="001301DF"/>
    <w:rsid w:val="00131E4E"/>
    <w:rsid w:val="00132C47"/>
    <w:rsid w:val="0013431C"/>
    <w:rsid w:val="001361E3"/>
    <w:rsid w:val="0014091C"/>
    <w:rsid w:val="0014349F"/>
    <w:rsid w:val="0014355A"/>
    <w:rsid w:val="0014403D"/>
    <w:rsid w:val="00146B0F"/>
    <w:rsid w:val="0015068C"/>
    <w:rsid w:val="00150761"/>
    <w:rsid w:val="001531E5"/>
    <w:rsid w:val="00153A3B"/>
    <w:rsid w:val="001542DE"/>
    <w:rsid w:val="001605A0"/>
    <w:rsid w:val="0016372F"/>
    <w:rsid w:val="00163FB1"/>
    <w:rsid w:val="001641C1"/>
    <w:rsid w:val="00164C7B"/>
    <w:rsid w:val="00164E1E"/>
    <w:rsid w:val="001663AE"/>
    <w:rsid w:val="00166D26"/>
    <w:rsid w:val="0017250D"/>
    <w:rsid w:val="00174209"/>
    <w:rsid w:val="00174ED6"/>
    <w:rsid w:val="001750E0"/>
    <w:rsid w:val="00176EEF"/>
    <w:rsid w:val="001771C0"/>
    <w:rsid w:val="00181EE3"/>
    <w:rsid w:val="0018596D"/>
    <w:rsid w:val="001863EB"/>
    <w:rsid w:val="00196F51"/>
    <w:rsid w:val="001A3646"/>
    <w:rsid w:val="001A5473"/>
    <w:rsid w:val="001B0E71"/>
    <w:rsid w:val="001B29EB"/>
    <w:rsid w:val="001B475A"/>
    <w:rsid w:val="001B6C00"/>
    <w:rsid w:val="001B7E9B"/>
    <w:rsid w:val="001C1E2D"/>
    <w:rsid w:val="001C1EA3"/>
    <w:rsid w:val="001C4742"/>
    <w:rsid w:val="001C5A39"/>
    <w:rsid w:val="001C7699"/>
    <w:rsid w:val="001D1380"/>
    <w:rsid w:val="001D1B45"/>
    <w:rsid w:val="001D3576"/>
    <w:rsid w:val="001D5CA9"/>
    <w:rsid w:val="001D6862"/>
    <w:rsid w:val="001D7D6A"/>
    <w:rsid w:val="001E008D"/>
    <w:rsid w:val="001E0386"/>
    <w:rsid w:val="001E09D9"/>
    <w:rsid w:val="001E0C5A"/>
    <w:rsid w:val="001E19D5"/>
    <w:rsid w:val="001E2CF6"/>
    <w:rsid w:val="001E479B"/>
    <w:rsid w:val="001F0D65"/>
    <w:rsid w:val="001F11A4"/>
    <w:rsid w:val="001F3599"/>
    <w:rsid w:val="001F3E0C"/>
    <w:rsid w:val="001F7AEE"/>
    <w:rsid w:val="002016AE"/>
    <w:rsid w:val="00201E97"/>
    <w:rsid w:val="00202B7B"/>
    <w:rsid w:val="002049C5"/>
    <w:rsid w:val="00211946"/>
    <w:rsid w:val="00213F57"/>
    <w:rsid w:val="00214DD0"/>
    <w:rsid w:val="00216974"/>
    <w:rsid w:val="00217489"/>
    <w:rsid w:val="002206E8"/>
    <w:rsid w:val="00224140"/>
    <w:rsid w:val="00226503"/>
    <w:rsid w:val="00227F78"/>
    <w:rsid w:val="00230103"/>
    <w:rsid w:val="00231AC8"/>
    <w:rsid w:val="00231ECA"/>
    <w:rsid w:val="00233415"/>
    <w:rsid w:val="00250B2A"/>
    <w:rsid w:val="002510E7"/>
    <w:rsid w:val="00254A87"/>
    <w:rsid w:val="0025641D"/>
    <w:rsid w:val="00256442"/>
    <w:rsid w:val="00256F6A"/>
    <w:rsid w:val="0026039E"/>
    <w:rsid w:val="002628DC"/>
    <w:rsid w:val="00264A57"/>
    <w:rsid w:val="00267A53"/>
    <w:rsid w:val="002702FE"/>
    <w:rsid w:val="002733BF"/>
    <w:rsid w:val="002751D2"/>
    <w:rsid w:val="00282118"/>
    <w:rsid w:val="00282A1A"/>
    <w:rsid w:val="00282AFE"/>
    <w:rsid w:val="002876A5"/>
    <w:rsid w:val="00287CE6"/>
    <w:rsid w:val="00292AA4"/>
    <w:rsid w:val="00293B22"/>
    <w:rsid w:val="00294D5A"/>
    <w:rsid w:val="00294FB6"/>
    <w:rsid w:val="00295C78"/>
    <w:rsid w:val="00295E85"/>
    <w:rsid w:val="002978F4"/>
    <w:rsid w:val="00297AD1"/>
    <w:rsid w:val="002A0B28"/>
    <w:rsid w:val="002A128C"/>
    <w:rsid w:val="002A4035"/>
    <w:rsid w:val="002A42B0"/>
    <w:rsid w:val="002A5283"/>
    <w:rsid w:val="002A56BC"/>
    <w:rsid w:val="002B023D"/>
    <w:rsid w:val="002B7EA5"/>
    <w:rsid w:val="002C19FA"/>
    <w:rsid w:val="002C24CB"/>
    <w:rsid w:val="002D376E"/>
    <w:rsid w:val="002D5091"/>
    <w:rsid w:val="002D62AF"/>
    <w:rsid w:val="002D73B8"/>
    <w:rsid w:val="002E4D5C"/>
    <w:rsid w:val="002E6C96"/>
    <w:rsid w:val="002F0376"/>
    <w:rsid w:val="002F13E5"/>
    <w:rsid w:val="002F1B9A"/>
    <w:rsid w:val="002F3B9C"/>
    <w:rsid w:val="00300E2D"/>
    <w:rsid w:val="00302682"/>
    <w:rsid w:val="003026A2"/>
    <w:rsid w:val="00303824"/>
    <w:rsid w:val="003141AA"/>
    <w:rsid w:val="00314840"/>
    <w:rsid w:val="00317880"/>
    <w:rsid w:val="003203FA"/>
    <w:rsid w:val="003205FF"/>
    <w:rsid w:val="00321EC8"/>
    <w:rsid w:val="00322659"/>
    <w:rsid w:val="003305B2"/>
    <w:rsid w:val="00332DE4"/>
    <w:rsid w:val="003372AC"/>
    <w:rsid w:val="00337AB0"/>
    <w:rsid w:val="00337E10"/>
    <w:rsid w:val="0034022F"/>
    <w:rsid w:val="00341B3E"/>
    <w:rsid w:val="003509BF"/>
    <w:rsid w:val="0035110E"/>
    <w:rsid w:val="00351487"/>
    <w:rsid w:val="003539AE"/>
    <w:rsid w:val="003559D7"/>
    <w:rsid w:val="00356B3F"/>
    <w:rsid w:val="00362AAB"/>
    <w:rsid w:val="00367CB1"/>
    <w:rsid w:val="00370F6C"/>
    <w:rsid w:val="00372933"/>
    <w:rsid w:val="00372F40"/>
    <w:rsid w:val="00373B6D"/>
    <w:rsid w:val="003751E2"/>
    <w:rsid w:val="00375CC7"/>
    <w:rsid w:val="003834EF"/>
    <w:rsid w:val="00383D8B"/>
    <w:rsid w:val="00391503"/>
    <w:rsid w:val="0039183D"/>
    <w:rsid w:val="00391C14"/>
    <w:rsid w:val="00392FBA"/>
    <w:rsid w:val="00394BA1"/>
    <w:rsid w:val="003956E5"/>
    <w:rsid w:val="00396E50"/>
    <w:rsid w:val="00397766"/>
    <w:rsid w:val="003A15E7"/>
    <w:rsid w:val="003A2A88"/>
    <w:rsid w:val="003A4812"/>
    <w:rsid w:val="003A497B"/>
    <w:rsid w:val="003A5822"/>
    <w:rsid w:val="003B030A"/>
    <w:rsid w:val="003B35B9"/>
    <w:rsid w:val="003B6AFE"/>
    <w:rsid w:val="003C13D1"/>
    <w:rsid w:val="003C2C8D"/>
    <w:rsid w:val="003C33E8"/>
    <w:rsid w:val="003C5E57"/>
    <w:rsid w:val="003C703A"/>
    <w:rsid w:val="003D1976"/>
    <w:rsid w:val="003D4B2C"/>
    <w:rsid w:val="003D7840"/>
    <w:rsid w:val="003F0FDF"/>
    <w:rsid w:val="003F4BDE"/>
    <w:rsid w:val="003F512B"/>
    <w:rsid w:val="003F5E08"/>
    <w:rsid w:val="00400814"/>
    <w:rsid w:val="00401619"/>
    <w:rsid w:val="004032C1"/>
    <w:rsid w:val="00407637"/>
    <w:rsid w:val="004120E2"/>
    <w:rsid w:val="00415CC3"/>
    <w:rsid w:val="00425FF4"/>
    <w:rsid w:val="00430D77"/>
    <w:rsid w:val="004312CF"/>
    <w:rsid w:val="0043141A"/>
    <w:rsid w:val="00433EE8"/>
    <w:rsid w:val="00441F50"/>
    <w:rsid w:val="00441F85"/>
    <w:rsid w:val="0044795F"/>
    <w:rsid w:val="00452E65"/>
    <w:rsid w:val="00454315"/>
    <w:rsid w:val="00454B8B"/>
    <w:rsid w:val="0045772A"/>
    <w:rsid w:val="004643ED"/>
    <w:rsid w:val="0046718C"/>
    <w:rsid w:val="00467508"/>
    <w:rsid w:val="00467595"/>
    <w:rsid w:val="00471A9A"/>
    <w:rsid w:val="00473EB7"/>
    <w:rsid w:val="004761AF"/>
    <w:rsid w:val="00477304"/>
    <w:rsid w:val="004803CC"/>
    <w:rsid w:val="00480FCA"/>
    <w:rsid w:val="00481340"/>
    <w:rsid w:val="00481490"/>
    <w:rsid w:val="0048203B"/>
    <w:rsid w:val="00482348"/>
    <w:rsid w:val="0048241E"/>
    <w:rsid w:val="00485A4C"/>
    <w:rsid w:val="00487931"/>
    <w:rsid w:val="00490E57"/>
    <w:rsid w:val="00493608"/>
    <w:rsid w:val="004939F0"/>
    <w:rsid w:val="00493CDB"/>
    <w:rsid w:val="00494AA1"/>
    <w:rsid w:val="00496461"/>
    <w:rsid w:val="00496A15"/>
    <w:rsid w:val="004A00E3"/>
    <w:rsid w:val="004A6393"/>
    <w:rsid w:val="004A698D"/>
    <w:rsid w:val="004A7153"/>
    <w:rsid w:val="004B10C8"/>
    <w:rsid w:val="004B1676"/>
    <w:rsid w:val="004B3739"/>
    <w:rsid w:val="004B3A5F"/>
    <w:rsid w:val="004B6845"/>
    <w:rsid w:val="004B6F3C"/>
    <w:rsid w:val="004B791D"/>
    <w:rsid w:val="004B7B3F"/>
    <w:rsid w:val="004B7C3B"/>
    <w:rsid w:val="004C10FE"/>
    <w:rsid w:val="004C250E"/>
    <w:rsid w:val="004C27B6"/>
    <w:rsid w:val="004C4E76"/>
    <w:rsid w:val="004D0347"/>
    <w:rsid w:val="004D13A4"/>
    <w:rsid w:val="004D53B6"/>
    <w:rsid w:val="004E0A6B"/>
    <w:rsid w:val="004E1489"/>
    <w:rsid w:val="004E17F3"/>
    <w:rsid w:val="004E3F57"/>
    <w:rsid w:val="004E585C"/>
    <w:rsid w:val="004E5B7D"/>
    <w:rsid w:val="004E655D"/>
    <w:rsid w:val="004E7767"/>
    <w:rsid w:val="004F0F16"/>
    <w:rsid w:val="004F2F93"/>
    <w:rsid w:val="004F372B"/>
    <w:rsid w:val="004F38FE"/>
    <w:rsid w:val="004F758C"/>
    <w:rsid w:val="004F7914"/>
    <w:rsid w:val="004F7C44"/>
    <w:rsid w:val="0050051E"/>
    <w:rsid w:val="00502C12"/>
    <w:rsid w:val="00504C03"/>
    <w:rsid w:val="00505067"/>
    <w:rsid w:val="00505A4E"/>
    <w:rsid w:val="005073CF"/>
    <w:rsid w:val="005105EA"/>
    <w:rsid w:val="00511C4D"/>
    <w:rsid w:val="00513557"/>
    <w:rsid w:val="005150C9"/>
    <w:rsid w:val="00515BBF"/>
    <w:rsid w:val="00516441"/>
    <w:rsid w:val="00516E68"/>
    <w:rsid w:val="005172FE"/>
    <w:rsid w:val="00517C86"/>
    <w:rsid w:val="00520FA4"/>
    <w:rsid w:val="00521391"/>
    <w:rsid w:val="005220BC"/>
    <w:rsid w:val="00522858"/>
    <w:rsid w:val="00523B2E"/>
    <w:rsid w:val="00524E1D"/>
    <w:rsid w:val="0052650A"/>
    <w:rsid w:val="00527649"/>
    <w:rsid w:val="005279E8"/>
    <w:rsid w:val="005325B4"/>
    <w:rsid w:val="0053385B"/>
    <w:rsid w:val="00536B82"/>
    <w:rsid w:val="0054263E"/>
    <w:rsid w:val="005463E0"/>
    <w:rsid w:val="0054739F"/>
    <w:rsid w:val="00551911"/>
    <w:rsid w:val="00551920"/>
    <w:rsid w:val="00552A0E"/>
    <w:rsid w:val="00552B7F"/>
    <w:rsid w:val="0055306E"/>
    <w:rsid w:val="005540CE"/>
    <w:rsid w:val="00554A6E"/>
    <w:rsid w:val="00560B0C"/>
    <w:rsid w:val="00562B5C"/>
    <w:rsid w:val="00563CF0"/>
    <w:rsid w:val="00563D53"/>
    <w:rsid w:val="00565F73"/>
    <w:rsid w:val="0056750E"/>
    <w:rsid w:val="00567980"/>
    <w:rsid w:val="005679E4"/>
    <w:rsid w:val="00570EEE"/>
    <w:rsid w:val="00571490"/>
    <w:rsid w:val="005760BF"/>
    <w:rsid w:val="00576831"/>
    <w:rsid w:val="00577624"/>
    <w:rsid w:val="00577ABF"/>
    <w:rsid w:val="00581A4A"/>
    <w:rsid w:val="00582CF0"/>
    <w:rsid w:val="005857D2"/>
    <w:rsid w:val="00585BCF"/>
    <w:rsid w:val="00585ED0"/>
    <w:rsid w:val="005916D2"/>
    <w:rsid w:val="00591B11"/>
    <w:rsid w:val="00595C35"/>
    <w:rsid w:val="00595DA7"/>
    <w:rsid w:val="00595ED2"/>
    <w:rsid w:val="005A6091"/>
    <w:rsid w:val="005A61E4"/>
    <w:rsid w:val="005B1E55"/>
    <w:rsid w:val="005B6E10"/>
    <w:rsid w:val="005B6F12"/>
    <w:rsid w:val="005C0DCB"/>
    <w:rsid w:val="005C46B0"/>
    <w:rsid w:val="005C584D"/>
    <w:rsid w:val="005C59D9"/>
    <w:rsid w:val="005D173F"/>
    <w:rsid w:val="005D17BC"/>
    <w:rsid w:val="005D4B42"/>
    <w:rsid w:val="005D655F"/>
    <w:rsid w:val="005D6811"/>
    <w:rsid w:val="005D6B64"/>
    <w:rsid w:val="005E0382"/>
    <w:rsid w:val="005E0E4A"/>
    <w:rsid w:val="005E1D3C"/>
    <w:rsid w:val="005E1DE9"/>
    <w:rsid w:val="005E5E78"/>
    <w:rsid w:val="005F11EA"/>
    <w:rsid w:val="005F2A16"/>
    <w:rsid w:val="005F4548"/>
    <w:rsid w:val="005F4A02"/>
    <w:rsid w:val="005F5D93"/>
    <w:rsid w:val="00603AAD"/>
    <w:rsid w:val="00604208"/>
    <w:rsid w:val="00604E5C"/>
    <w:rsid w:val="006075BD"/>
    <w:rsid w:val="006120DA"/>
    <w:rsid w:val="00616C3A"/>
    <w:rsid w:val="00617E98"/>
    <w:rsid w:val="00622F53"/>
    <w:rsid w:val="00624D66"/>
    <w:rsid w:val="006309B9"/>
    <w:rsid w:val="00640913"/>
    <w:rsid w:val="00641842"/>
    <w:rsid w:val="00650A99"/>
    <w:rsid w:val="00652CEE"/>
    <w:rsid w:val="0065485A"/>
    <w:rsid w:val="00664223"/>
    <w:rsid w:val="00670BA5"/>
    <w:rsid w:val="00670D69"/>
    <w:rsid w:val="00674492"/>
    <w:rsid w:val="0067483D"/>
    <w:rsid w:val="006753C6"/>
    <w:rsid w:val="00676443"/>
    <w:rsid w:val="006806F7"/>
    <w:rsid w:val="006807AC"/>
    <w:rsid w:val="00682367"/>
    <w:rsid w:val="00682C69"/>
    <w:rsid w:val="00685EF4"/>
    <w:rsid w:val="006879BE"/>
    <w:rsid w:val="00690E68"/>
    <w:rsid w:val="00691813"/>
    <w:rsid w:val="006928D1"/>
    <w:rsid w:val="00692975"/>
    <w:rsid w:val="006948C5"/>
    <w:rsid w:val="00697D59"/>
    <w:rsid w:val="006A0029"/>
    <w:rsid w:val="006A05D6"/>
    <w:rsid w:val="006A0F41"/>
    <w:rsid w:val="006A5990"/>
    <w:rsid w:val="006A5FCB"/>
    <w:rsid w:val="006A6FC6"/>
    <w:rsid w:val="006A7118"/>
    <w:rsid w:val="006A72BA"/>
    <w:rsid w:val="006A75AC"/>
    <w:rsid w:val="006B0537"/>
    <w:rsid w:val="006B5985"/>
    <w:rsid w:val="006B5999"/>
    <w:rsid w:val="006B765E"/>
    <w:rsid w:val="006C7116"/>
    <w:rsid w:val="006D2B4A"/>
    <w:rsid w:val="006D569B"/>
    <w:rsid w:val="006D7C83"/>
    <w:rsid w:val="006E21C8"/>
    <w:rsid w:val="006E4583"/>
    <w:rsid w:val="006E5817"/>
    <w:rsid w:val="006F03F4"/>
    <w:rsid w:val="006F26B2"/>
    <w:rsid w:val="006F58C5"/>
    <w:rsid w:val="006F7B44"/>
    <w:rsid w:val="00700DA8"/>
    <w:rsid w:val="00700DB0"/>
    <w:rsid w:val="0070120A"/>
    <w:rsid w:val="00702901"/>
    <w:rsid w:val="007042C0"/>
    <w:rsid w:val="0070483E"/>
    <w:rsid w:val="007050ED"/>
    <w:rsid w:val="007057E8"/>
    <w:rsid w:val="007062D9"/>
    <w:rsid w:val="00706545"/>
    <w:rsid w:val="00707F65"/>
    <w:rsid w:val="00712F01"/>
    <w:rsid w:val="00713F75"/>
    <w:rsid w:val="00717687"/>
    <w:rsid w:val="00721A74"/>
    <w:rsid w:val="00725E02"/>
    <w:rsid w:val="00726264"/>
    <w:rsid w:val="0073154E"/>
    <w:rsid w:val="007344EA"/>
    <w:rsid w:val="00735592"/>
    <w:rsid w:val="00736B63"/>
    <w:rsid w:val="00740BC2"/>
    <w:rsid w:val="00741448"/>
    <w:rsid w:val="007430EF"/>
    <w:rsid w:val="00743253"/>
    <w:rsid w:val="00743E1A"/>
    <w:rsid w:val="00745063"/>
    <w:rsid w:val="00745F39"/>
    <w:rsid w:val="00747180"/>
    <w:rsid w:val="00751860"/>
    <w:rsid w:val="00755B8D"/>
    <w:rsid w:val="00761E5D"/>
    <w:rsid w:val="00762866"/>
    <w:rsid w:val="00762EF0"/>
    <w:rsid w:val="00763FDB"/>
    <w:rsid w:val="007641A0"/>
    <w:rsid w:val="00766EC2"/>
    <w:rsid w:val="00767FB9"/>
    <w:rsid w:val="00770276"/>
    <w:rsid w:val="00770874"/>
    <w:rsid w:val="00770887"/>
    <w:rsid w:val="00770ADC"/>
    <w:rsid w:val="00771928"/>
    <w:rsid w:val="007731C6"/>
    <w:rsid w:val="00773282"/>
    <w:rsid w:val="00773547"/>
    <w:rsid w:val="00775756"/>
    <w:rsid w:val="00776215"/>
    <w:rsid w:val="007828B7"/>
    <w:rsid w:val="00782F33"/>
    <w:rsid w:val="0078344D"/>
    <w:rsid w:val="007857D0"/>
    <w:rsid w:val="007877F3"/>
    <w:rsid w:val="00790020"/>
    <w:rsid w:val="00790739"/>
    <w:rsid w:val="00792612"/>
    <w:rsid w:val="00796DDA"/>
    <w:rsid w:val="007A35B9"/>
    <w:rsid w:val="007A4D8D"/>
    <w:rsid w:val="007B0051"/>
    <w:rsid w:val="007B2470"/>
    <w:rsid w:val="007B4882"/>
    <w:rsid w:val="007B5621"/>
    <w:rsid w:val="007B5998"/>
    <w:rsid w:val="007B6AD6"/>
    <w:rsid w:val="007B6F76"/>
    <w:rsid w:val="007B70F7"/>
    <w:rsid w:val="007C336F"/>
    <w:rsid w:val="007C4270"/>
    <w:rsid w:val="007C450B"/>
    <w:rsid w:val="007C4578"/>
    <w:rsid w:val="007C532D"/>
    <w:rsid w:val="007D2E65"/>
    <w:rsid w:val="007D411F"/>
    <w:rsid w:val="007E1795"/>
    <w:rsid w:val="007E35B4"/>
    <w:rsid w:val="007E45F2"/>
    <w:rsid w:val="007E5237"/>
    <w:rsid w:val="007F2F30"/>
    <w:rsid w:val="007F37C0"/>
    <w:rsid w:val="007F40C8"/>
    <w:rsid w:val="007F5A79"/>
    <w:rsid w:val="007F6500"/>
    <w:rsid w:val="007F7858"/>
    <w:rsid w:val="007F7C04"/>
    <w:rsid w:val="00800EA9"/>
    <w:rsid w:val="008032B9"/>
    <w:rsid w:val="008036D7"/>
    <w:rsid w:val="00804D2D"/>
    <w:rsid w:val="00805925"/>
    <w:rsid w:val="00806566"/>
    <w:rsid w:val="00807EFC"/>
    <w:rsid w:val="00810084"/>
    <w:rsid w:val="00811831"/>
    <w:rsid w:val="008120FD"/>
    <w:rsid w:val="00815CEE"/>
    <w:rsid w:val="00815D0B"/>
    <w:rsid w:val="008165BB"/>
    <w:rsid w:val="008175B2"/>
    <w:rsid w:val="00817D8E"/>
    <w:rsid w:val="00820529"/>
    <w:rsid w:val="00820A3F"/>
    <w:rsid w:val="00821C06"/>
    <w:rsid w:val="00821EDD"/>
    <w:rsid w:val="00826FF2"/>
    <w:rsid w:val="00827082"/>
    <w:rsid w:val="0083178E"/>
    <w:rsid w:val="00832014"/>
    <w:rsid w:val="00836C5C"/>
    <w:rsid w:val="008375EB"/>
    <w:rsid w:val="008442CE"/>
    <w:rsid w:val="008445AE"/>
    <w:rsid w:val="00844F12"/>
    <w:rsid w:val="0084571C"/>
    <w:rsid w:val="00852E16"/>
    <w:rsid w:val="0085709B"/>
    <w:rsid w:val="00857DE1"/>
    <w:rsid w:val="00862E28"/>
    <w:rsid w:val="008646D2"/>
    <w:rsid w:val="008647D1"/>
    <w:rsid w:val="00865165"/>
    <w:rsid w:val="00865411"/>
    <w:rsid w:val="00870C3E"/>
    <w:rsid w:val="0087308F"/>
    <w:rsid w:val="00873FB4"/>
    <w:rsid w:val="0087506E"/>
    <w:rsid w:val="008751D9"/>
    <w:rsid w:val="008761A0"/>
    <w:rsid w:val="008762C3"/>
    <w:rsid w:val="00876444"/>
    <w:rsid w:val="00881C9C"/>
    <w:rsid w:val="0088732D"/>
    <w:rsid w:val="00896EAD"/>
    <w:rsid w:val="008A0307"/>
    <w:rsid w:val="008A3FB8"/>
    <w:rsid w:val="008A5D7F"/>
    <w:rsid w:val="008B0625"/>
    <w:rsid w:val="008B0A18"/>
    <w:rsid w:val="008B30C9"/>
    <w:rsid w:val="008B3A69"/>
    <w:rsid w:val="008B7176"/>
    <w:rsid w:val="008C00FD"/>
    <w:rsid w:val="008C11BF"/>
    <w:rsid w:val="008C2780"/>
    <w:rsid w:val="008C2EA2"/>
    <w:rsid w:val="008C73D6"/>
    <w:rsid w:val="008C7A2F"/>
    <w:rsid w:val="008D04FA"/>
    <w:rsid w:val="008E2ADB"/>
    <w:rsid w:val="008E40B7"/>
    <w:rsid w:val="008E6775"/>
    <w:rsid w:val="008E78EB"/>
    <w:rsid w:val="008F57E4"/>
    <w:rsid w:val="008F6815"/>
    <w:rsid w:val="00901C37"/>
    <w:rsid w:val="00902FDE"/>
    <w:rsid w:val="009058D0"/>
    <w:rsid w:val="00907660"/>
    <w:rsid w:val="00913AD5"/>
    <w:rsid w:val="00914565"/>
    <w:rsid w:val="009148E7"/>
    <w:rsid w:val="00915224"/>
    <w:rsid w:val="00926286"/>
    <w:rsid w:val="00926317"/>
    <w:rsid w:val="00926B45"/>
    <w:rsid w:val="0093138C"/>
    <w:rsid w:val="00933184"/>
    <w:rsid w:val="00934CE3"/>
    <w:rsid w:val="00941DC5"/>
    <w:rsid w:val="00942F02"/>
    <w:rsid w:val="00943029"/>
    <w:rsid w:val="0094723D"/>
    <w:rsid w:val="00950A8A"/>
    <w:rsid w:val="009531E2"/>
    <w:rsid w:val="00953438"/>
    <w:rsid w:val="00956098"/>
    <w:rsid w:val="009606B3"/>
    <w:rsid w:val="00961788"/>
    <w:rsid w:val="0096241A"/>
    <w:rsid w:val="00966EAD"/>
    <w:rsid w:val="00972EE9"/>
    <w:rsid w:val="00973D1A"/>
    <w:rsid w:val="0097536C"/>
    <w:rsid w:val="0097627C"/>
    <w:rsid w:val="0098143F"/>
    <w:rsid w:val="00982549"/>
    <w:rsid w:val="009848DF"/>
    <w:rsid w:val="00986F71"/>
    <w:rsid w:val="00990B51"/>
    <w:rsid w:val="0099278C"/>
    <w:rsid w:val="00996A17"/>
    <w:rsid w:val="009A236F"/>
    <w:rsid w:val="009A3F4E"/>
    <w:rsid w:val="009A5596"/>
    <w:rsid w:val="009A67EB"/>
    <w:rsid w:val="009A7AA1"/>
    <w:rsid w:val="009B2860"/>
    <w:rsid w:val="009B2FAE"/>
    <w:rsid w:val="009B38B1"/>
    <w:rsid w:val="009B4265"/>
    <w:rsid w:val="009B7AC7"/>
    <w:rsid w:val="009C0615"/>
    <w:rsid w:val="009C3106"/>
    <w:rsid w:val="009C3354"/>
    <w:rsid w:val="009C5C1A"/>
    <w:rsid w:val="009C7A81"/>
    <w:rsid w:val="009C7C0D"/>
    <w:rsid w:val="009D4B99"/>
    <w:rsid w:val="009D7ECE"/>
    <w:rsid w:val="009E0CF7"/>
    <w:rsid w:val="009E5D05"/>
    <w:rsid w:val="009F0492"/>
    <w:rsid w:val="009F0FBE"/>
    <w:rsid w:val="009F2029"/>
    <w:rsid w:val="009F248B"/>
    <w:rsid w:val="009F6412"/>
    <w:rsid w:val="00A006DE"/>
    <w:rsid w:val="00A0382D"/>
    <w:rsid w:val="00A05791"/>
    <w:rsid w:val="00A05F58"/>
    <w:rsid w:val="00A07EF9"/>
    <w:rsid w:val="00A11B42"/>
    <w:rsid w:val="00A13AE4"/>
    <w:rsid w:val="00A258F0"/>
    <w:rsid w:val="00A329EF"/>
    <w:rsid w:val="00A34FD5"/>
    <w:rsid w:val="00A36083"/>
    <w:rsid w:val="00A36A80"/>
    <w:rsid w:val="00A43CD6"/>
    <w:rsid w:val="00A44621"/>
    <w:rsid w:val="00A47C6A"/>
    <w:rsid w:val="00A47CA0"/>
    <w:rsid w:val="00A54B0D"/>
    <w:rsid w:val="00A566FE"/>
    <w:rsid w:val="00A57CC2"/>
    <w:rsid w:val="00A6251D"/>
    <w:rsid w:val="00A654D7"/>
    <w:rsid w:val="00A65971"/>
    <w:rsid w:val="00A66750"/>
    <w:rsid w:val="00A70182"/>
    <w:rsid w:val="00A70BA7"/>
    <w:rsid w:val="00A72A13"/>
    <w:rsid w:val="00A744EC"/>
    <w:rsid w:val="00A7495A"/>
    <w:rsid w:val="00A752C7"/>
    <w:rsid w:val="00A77968"/>
    <w:rsid w:val="00A83649"/>
    <w:rsid w:val="00A839F4"/>
    <w:rsid w:val="00A85837"/>
    <w:rsid w:val="00A926CE"/>
    <w:rsid w:val="00A9371D"/>
    <w:rsid w:val="00A97894"/>
    <w:rsid w:val="00A97CAD"/>
    <w:rsid w:val="00A97FDD"/>
    <w:rsid w:val="00AA0FB7"/>
    <w:rsid w:val="00AA1AA1"/>
    <w:rsid w:val="00AA1C68"/>
    <w:rsid w:val="00AA5D20"/>
    <w:rsid w:val="00AA690A"/>
    <w:rsid w:val="00AA75DD"/>
    <w:rsid w:val="00AB37B1"/>
    <w:rsid w:val="00AB4FFD"/>
    <w:rsid w:val="00AC2164"/>
    <w:rsid w:val="00AC2B0C"/>
    <w:rsid w:val="00AC4815"/>
    <w:rsid w:val="00AC4CBD"/>
    <w:rsid w:val="00AC4EE0"/>
    <w:rsid w:val="00AC6DD0"/>
    <w:rsid w:val="00AD0C4B"/>
    <w:rsid w:val="00AD3A74"/>
    <w:rsid w:val="00AD56DB"/>
    <w:rsid w:val="00AD5C4D"/>
    <w:rsid w:val="00AD7A50"/>
    <w:rsid w:val="00AE23D3"/>
    <w:rsid w:val="00AE45E6"/>
    <w:rsid w:val="00AE7B84"/>
    <w:rsid w:val="00AF00AF"/>
    <w:rsid w:val="00AF217C"/>
    <w:rsid w:val="00AF5E1D"/>
    <w:rsid w:val="00AF7171"/>
    <w:rsid w:val="00AF71D3"/>
    <w:rsid w:val="00B03114"/>
    <w:rsid w:val="00B03E66"/>
    <w:rsid w:val="00B07062"/>
    <w:rsid w:val="00B10F99"/>
    <w:rsid w:val="00B11E2E"/>
    <w:rsid w:val="00B1396D"/>
    <w:rsid w:val="00B179EC"/>
    <w:rsid w:val="00B17D06"/>
    <w:rsid w:val="00B212CE"/>
    <w:rsid w:val="00B229DE"/>
    <w:rsid w:val="00B24C81"/>
    <w:rsid w:val="00B24EC6"/>
    <w:rsid w:val="00B258AA"/>
    <w:rsid w:val="00B26183"/>
    <w:rsid w:val="00B33ABA"/>
    <w:rsid w:val="00B36BB2"/>
    <w:rsid w:val="00B401FB"/>
    <w:rsid w:val="00B430BE"/>
    <w:rsid w:val="00B44FE7"/>
    <w:rsid w:val="00B51E12"/>
    <w:rsid w:val="00B5275F"/>
    <w:rsid w:val="00B557F8"/>
    <w:rsid w:val="00B57DCE"/>
    <w:rsid w:val="00B62473"/>
    <w:rsid w:val="00B63D83"/>
    <w:rsid w:val="00B6483D"/>
    <w:rsid w:val="00B65E8C"/>
    <w:rsid w:val="00B7361A"/>
    <w:rsid w:val="00B74F06"/>
    <w:rsid w:val="00B760AE"/>
    <w:rsid w:val="00B761E4"/>
    <w:rsid w:val="00B76887"/>
    <w:rsid w:val="00B76DC7"/>
    <w:rsid w:val="00B8182A"/>
    <w:rsid w:val="00B82557"/>
    <w:rsid w:val="00B83B9D"/>
    <w:rsid w:val="00B83BF2"/>
    <w:rsid w:val="00B8540B"/>
    <w:rsid w:val="00B864A6"/>
    <w:rsid w:val="00B9099F"/>
    <w:rsid w:val="00B91CF2"/>
    <w:rsid w:val="00B92753"/>
    <w:rsid w:val="00B94319"/>
    <w:rsid w:val="00B97B3B"/>
    <w:rsid w:val="00BA1DE4"/>
    <w:rsid w:val="00BA2203"/>
    <w:rsid w:val="00BA2D04"/>
    <w:rsid w:val="00BA3E16"/>
    <w:rsid w:val="00BA4F3D"/>
    <w:rsid w:val="00BA5EC8"/>
    <w:rsid w:val="00BB0B2C"/>
    <w:rsid w:val="00BB226F"/>
    <w:rsid w:val="00BB2EB5"/>
    <w:rsid w:val="00BB3D88"/>
    <w:rsid w:val="00BB6186"/>
    <w:rsid w:val="00BC2190"/>
    <w:rsid w:val="00BC265C"/>
    <w:rsid w:val="00BC3C07"/>
    <w:rsid w:val="00BD34BB"/>
    <w:rsid w:val="00BD39F4"/>
    <w:rsid w:val="00BD4C82"/>
    <w:rsid w:val="00BE1C07"/>
    <w:rsid w:val="00BE325A"/>
    <w:rsid w:val="00BE515D"/>
    <w:rsid w:val="00BE6F56"/>
    <w:rsid w:val="00BE7F1F"/>
    <w:rsid w:val="00BF3F76"/>
    <w:rsid w:val="00BF5E4B"/>
    <w:rsid w:val="00C00289"/>
    <w:rsid w:val="00C01693"/>
    <w:rsid w:val="00C02000"/>
    <w:rsid w:val="00C035EB"/>
    <w:rsid w:val="00C0395D"/>
    <w:rsid w:val="00C03A42"/>
    <w:rsid w:val="00C0423C"/>
    <w:rsid w:val="00C05786"/>
    <w:rsid w:val="00C06237"/>
    <w:rsid w:val="00C10AAC"/>
    <w:rsid w:val="00C12F15"/>
    <w:rsid w:val="00C142B1"/>
    <w:rsid w:val="00C16960"/>
    <w:rsid w:val="00C20CA8"/>
    <w:rsid w:val="00C20E26"/>
    <w:rsid w:val="00C22DBE"/>
    <w:rsid w:val="00C24542"/>
    <w:rsid w:val="00C276A2"/>
    <w:rsid w:val="00C32B9A"/>
    <w:rsid w:val="00C32E28"/>
    <w:rsid w:val="00C3332E"/>
    <w:rsid w:val="00C334D1"/>
    <w:rsid w:val="00C36BE7"/>
    <w:rsid w:val="00C37A7B"/>
    <w:rsid w:val="00C401A1"/>
    <w:rsid w:val="00C43064"/>
    <w:rsid w:val="00C46A08"/>
    <w:rsid w:val="00C47D9E"/>
    <w:rsid w:val="00C51797"/>
    <w:rsid w:val="00C52DFE"/>
    <w:rsid w:val="00C541A9"/>
    <w:rsid w:val="00C54674"/>
    <w:rsid w:val="00C54A4A"/>
    <w:rsid w:val="00C55945"/>
    <w:rsid w:val="00C56A9B"/>
    <w:rsid w:val="00C572C4"/>
    <w:rsid w:val="00C65605"/>
    <w:rsid w:val="00C6685D"/>
    <w:rsid w:val="00C70370"/>
    <w:rsid w:val="00C70B40"/>
    <w:rsid w:val="00C72CA5"/>
    <w:rsid w:val="00C72D32"/>
    <w:rsid w:val="00C769E0"/>
    <w:rsid w:val="00C86CA5"/>
    <w:rsid w:val="00C945E3"/>
    <w:rsid w:val="00CA1EFC"/>
    <w:rsid w:val="00CA5E43"/>
    <w:rsid w:val="00CA637D"/>
    <w:rsid w:val="00CA669B"/>
    <w:rsid w:val="00CA6D9C"/>
    <w:rsid w:val="00CA76CA"/>
    <w:rsid w:val="00CB47E0"/>
    <w:rsid w:val="00CB6457"/>
    <w:rsid w:val="00CB6D39"/>
    <w:rsid w:val="00CC0170"/>
    <w:rsid w:val="00CC59C1"/>
    <w:rsid w:val="00CC74DC"/>
    <w:rsid w:val="00CD0570"/>
    <w:rsid w:val="00CD3A6C"/>
    <w:rsid w:val="00CE3386"/>
    <w:rsid w:val="00CE6524"/>
    <w:rsid w:val="00CF0493"/>
    <w:rsid w:val="00CF11FD"/>
    <w:rsid w:val="00CF7230"/>
    <w:rsid w:val="00D02D35"/>
    <w:rsid w:val="00D03B46"/>
    <w:rsid w:val="00D05FE1"/>
    <w:rsid w:val="00D17579"/>
    <w:rsid w:val="00D200BE"/>
    <w:rsid w:val="00D204CE"/>
    <w:rsid w:val="00D23393"/>
    <w:rsid w:val="00D27BCA"/>
    <w:rsid w:val="00D33A0E"/>
    <w:rsid w:val="00D34898"/>
    <w:rsid w:val="00D373F0"/>
    <w:rsid w:val="00D37BAF"/>
    <w:rsid w:val="00D42439"/>
    <w:rsid w:val="00D44B0C"/>
    <w:rsid w:val="00D4672B"/>
    <w:rsid w:val="00D47B0A"/>
    <w:rsid w:val="00D51763"/>
    <w:rsid w:val="00D534DF"/>
    <w:rsid w:val="00D613CB"/>
    <w:rsid w:val="00D62647"/>
    <w:rsid w:val="00D65EB0"/>
    <w:rsid w:val="00D718F8"/>
    <w:rsid w:val="00D71C09"/>
    <w:rsid w:val="00D76FA2"/>
    <w:rsid w:val="00D774B6"/>
    <w:rsid w:val="00D8313F"/>
    <w:rsid w:val="00D86264"/>
    <w:rsid w:val="00D95BCE"/>
    <w:rsid w:val="00D9794C"/>
    <w:rsid w:val="00DA07E0"/>
    <w:rsid w:val="00DA12F2"/>
    <w:rsid w:val="00DA6502"/>
    <w:rsid w:val="00DB7F92"/>
    <w:rsid w:val="00DC5A57"/>
    <w:rsid w:val="00DD0981"/>
    <w:rsid w:val="00DD0F92"/>
    <w:rsid w:val="00DD5CA9"/>
    <w:rsid w:val="00DD69A0"/>
    <w:rsid w:val="00DD6F21"/>
    <w:rsid w:val="00DD7B6A"/>
    <w:rsid w:val="00DE4790"/>
    <w:rsid w:val="00DE4F3C"/>
    <w:rsid w:val="00DE59DF"/>
    <w:rsid w:val="00DF05CB"/>
    <w:rsid w:val="00DF220C"/>
    <w:rsid w:val="00DF240E"/>
    <w:rsid w:val="00DF4D29"/>
    <w:rsid w:val="00DF6119"/>
    <w:rsid w:val="00E00EAB"/>
    <w:rsid w:val="00E0299E"/>
    <w:rsid w:val="00E04672"/>
    <w:rsid w:val="00E058B1"/>
    <w:rsid w:val="00E10692"/>
    <w:rsid w:val="00E111B6"/>
    <w:rsid w:val="00E14628"/>
    <w:rsid w:val="00E15028"/>
    <w:rsid w:val="00E15E67"/>
    <w:rsid w:val="00E2010C"/>
    <w:rsid w:val="00E21B5E"/>
    <w:rsid w:val="00E2269A"/>
    <w:rsid w:val="00E255C8"/>
    <w:rsid w:val="00E27D3B"/>
    <w:rsid w:val="00E30E3E"/>
    <w:rsid w:val="00E3143C"/>
    <w:rsid w:val="00E319A8"/>
    <w:rsid w:val="00E31AA7"/>
    <w:rsid w:val="00E324E3"/>
    <w:rsid w:val="00E32727"/>
    <w:rsid w:val="00E35F1F"/>
    <w:rsid w:val="00E37D46"/>
    <w:rsid w:val="00E40368"/>
    <w:rsid w:val="00E4268B"/>
    <w:rsid w:val="00E42DEF"/>
    <w:rsid w:val="00E438FA"/>
    <w:rsid w:val="00E44E11"/>
    <w:rsid w:val="00E508CB"/>
    <w:rsid w:val="00E52376"/>
    <w:rsid w:val="00E535D9"/>
    <w:rsid w:val="00E55115"/>
    <w:rsid w:val="00E562E9"/>
    <w:rsid w:val="00E566A8"/>
    <w:rsid w:val="00E56795"/>
    <w:rsid w:val="00E60742"/>
    <w:rsid w:val="00E62630"/>
    <w:rsid w:val="00E71D96"/>
    <w:rsid w:val="00E745B9"/>
    <w:rsid w:val="00E80BDE"/>
    <w:rsid w:val="00E80CF1"/>
    <w:rsid w:val="00E85A59"/>
    <w:rsid w:val="00E95500"/>
    <w:rsid w:val="00E97DBD"/>
    <w:rsid w:val="00EA0EA6"/>
    <w:rsid w:val="00EA16AE"/>
    <w:rsid w:val="00EA27E3"/>
    <w:rsid w:val="00EA2D36"/>
    <w:rsid w:val="00EA3144"/>
    <w:rsid w:val="00EA4545"/>
    <w:rsid w:val="00EA542C"/>
    <w:rsid w:val="00EA5FAE"/>
    <w:rsid w:val="00EA6661"/>
    <w:rsid w:val="00EA7A00"/>
    <w:rsid w:val="00EB0D83"/>
    <w:rsid w:val="00EB1F9C"/>
    <w:rsid w:val="00EB230A"/>
    <w:rsid w:val="00EC14DD"/>
    <w:rsid w:val="00EC2A11"/>
    <w:rsid w:val="00EC36EF"/>
    <w:rsid w:val="00EC3FCA"/>
    <w:rsid w:val="00EC4E41"/>
    <w:rsid w:val="00ED18CB"/>
    <w:rsid w:val="00ED1B75"/>
    <w:rsid w:val="00EE108B"/>
    <w:rsid w:val="00EE23CA"/>
    <w:rsid w:val="00EE272E"/>
    <w:rsid w:val="00EE30F0"/>
    <w:rsid w:val="00EE40F7"/>
    <w:rsid w:val="00EE543C"/>
    <w:rsid w:val="00EF0F9F"/>
    <w:rsid w:val="00EF1F54"/>
    <w:rsid w:val="00EF4447"/>
    <w:rsid w:val="00EF51FE"/>
    <w:rsid w:val="00EF645F"/>
    <w:rsid w:val="00EF7F03"/>
    <w:rsid w:val="00F06007"/>
    <w:rsid w:val="00F067EF"/>
    <w:rsid w:val="00F06B21"/>
    <w:rsid w:val="00F10463"/>
    <w:rsid w:val="00F12D1C"/>
    <w:rsid w:val="00F14B06"/>
    <w:rsid w:val="00F21145"/>
    <w:rsid w:val="00F237C2"/>
    <w:rsid w:val="00F33B1A"/>
    <w:rsid w:val="00F343E9"/>
    <w:rsid w:val="00F344D5"/>
    <w:rsid w:val="00F413A2"/>
    <w:rsid w:val="00F41E22"/>
    <w:rsid w:val="00F437B7"/>
    <w:rsid w:val="00F451AC"/>
    <w:rsid w:val="00F50DE8"/>
    <w:rsid w:val="00F5220F"/>
    <w:rsid w:val="00F525B8"/>
    <w:rsid w:val="00F53DF6"/>
    <w:rsid w:val="00F57D5F"/>
    <w:rsid w:val="00F64422"/>
    <w:rsid w:val="00F73758"/>
    <w:rsid w:val="00F74A4C"/>
    <w:rsid w:val="00F766D0"/>
    <w:rsid w:val="00F76822"/>
    <w:rsid w:val="00F77DD0"/>
    <w:rsid w:val="00F80927"/>
    <w:rsid w:val="00F832D1"/>
    <w:rsid w:val="00F83E8B"/>
    <w:rsid w:val="00F84B99"/>
    <w:rsid w:val="00F8609F"/>
    <w:rsid w:val="00F86B59"/>
    <w:rsid w:val="00F95E8D"/>
    <w:rsid w:val="00FA240A"/>
    <w:rsid w:val="00FA47DA"/>
    <w:rsid w:val="00FA4824"/>
    <w:rsid w:val="00FA4922"/>
    <w:rsid w:val="00FA4C6D"/>
    <w:rsid w:val="00FB1D70"/>
    <w:rsid w:val="00FB2024"/>
    <w:rsid w:val="00FC3737"/>
    <w:rsid w:val="00FC413F"/>
    <w:rsid w:val="00FC66AC"/>
    <w:rsid w:val="00FD082E"/>
    <w:rsid w:val="00FD0FB5"/>
    <w:rsid w:val="00FD1869"/>
    <w:rsid w:val="00FD52EC"/>
    <w:rsid w:val="00FD53F7"/>
    <w:rsid w:val="00FD777A"/>
    <w:rsid w:val="00FE090E"/>
    <w:rsid w:val="00FE1ACA"/>
    <w:rsid w:val="00FE1BB9"/>
    <w:rsid w:val="00FE3B2D"/>
    <w:rsid w:val="00FE5384"/>
    <w:rsid w:val="00FF4F90"/>
    <w:rsid w:val="00FF5EDB"/>
    <w:rsid w:val="00FF681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9D2F232-C18A-468C-AE7A-E85439323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after="4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2AF"/>
    <w:rPr>
      <w:rFonts w:ascii="Arial" w:eastAsia="Arial" w:hAnsi="Arial" w:cs="Arial"/>
      <w:color w:val="000000"/>
      <w:lang w:eastAsia="es-CO"/>
    </w:rPr>
  </w:style>
  <w:style w:type="paragraph" w:styleId="Ttulo1">
    <w:name w:val="heading 1"/>
    <w:basedOn w:val="Normal"/>
    <w:next w:val="Normal"/>
    <w:link w:val="Ttulo1Car"/>
    <w:qFormat/>
    <w:rsid w:val="003A5822"/>
    <w:pPr>
      <w:keepNext/>
      <w:overflowPunct w:val="0"/>
      <w:autoSpaceDE w:val="0"/>
      <w:autoSpaceDN w:val="0"/>
      <w:adjustRightInd w:val="0"/>
      <w:spacing w:before="240" w:after="60"/>
      <w:textAlignment w:val="baseline"/>
      <w:outlineLvl w:val="0"/>
    </w:pPr>
    <w:rPr>
      <w:rFonts w:ascii="Cambria" w:eastAsia="Times New Roman" w:hAnsi="Cambria" w:cs="Times New Roman"/>
      <w:b/>
      <w:bCs/>
      <w:color w:val="auto"/>
      <w:kern w:val="32"/>
      <w:sz w:val="32"/>
      <w:szCs w:val="32"/>
      <w:lang w:val="es-ES" w:eastAsia="es-ES"/>
    </w:rPr>
  </w:style>
  <w:style w:type="paragraph" w:styleId="Ttulo2">
    <w:name w:val="heading 2"/>
    <w:basedOn w:val="Normal"/>
    <w:link w:val="Ttulo2Car"/>
    <w:qFormat/>
    <w:rsid w:val="003A5822"/>
    <w:pPr>
      <w:overflowPunct w:val="0"/>
      <w:autoSpaceDE w:val="0"/>
      <w:autoSpaceDN w:val="0"/>
      <w:adjustRightInd w:val="0"/>
      <w:spacing w:after="100"/>
      <w:textAlignment w:val="baseline"/>
      <w:outlineLvl w:val="1"/>
    </w:pPr>
    <w:rPr>
      <w:rFonts w:ascii="Times New Roman" w:eastAsia="Times New Roman" w:hAnsi="Times New Roman" w:cs="Times New Roman"/>
      <w:b/>
      <w:color w:val="auto"/>
      <w:sz w:val="36"/>
      <w:szCs w:val="20"/>
      <w:lang w:val="es-ES" w:eastAsia="es-ES"/>
    </w:rPr>
  </w:style>
  <w:style w:type="paragraph" w:styleId="Ttulo3">
    <w:name w:val="heading 3"/>
    <w:basedOn w:val="Normal"/>
    <w:link w:val="Ttulo3Car"/>
    <w:qFormat/>
    <w:rsid w:val="003A5822"/>
    <w:pPr>
      <w:overflowPunct w:val="0"/>
      <w:autoSpaceDE w:val="0"/>
      <w:autoSpaceDN w:val="0"/>
      <w:adjustRightInd w:val="0"/>
      <w:spacing w:after="100"/>
      <w:textAlignment w:val="baseline"/>
      <w:outlineLvl w:val="2"/>
    </w:pPr>
    <w:rPr>
      <w:rFonts w:ascii="Times New Roman" w:eastAsia="Times New Roman" w:hAnsi="Times New Roman" w:cs="Times New Roman"/>
      <w:b/>
      <w:color w:val="auto"/>
      <w:sz w:val="27"/>
      <w:szCs w:val="20"/>
      <w:lang w:val="es-ES" w:eastAsia="es-ES"/>
    </w:rPr>
  </w:style>
  <w:style w:type="paragraph" w:styleId="Ttulo4">
    <w:name w:val="heading 4"/>
    <w:basedOn w:val="Normal"/>
    <w:next w:val="Normal"/>
    <w:link w:val="Ttulo4Car"/>
    <w:qFormat/>
    <w:rsid w:val="00524E1D"/>
    <w:pPr>
      <w:keepNext/>
      <w:overflowPunct w:val="0"/>
      <w:autoSpaceDE w:val="0"/>
      <w:autoSpaceDN w:val="0"/>
      <w:adjustRightInd w:val="0"/>
      <w:spacing w:before="240" w:after="60"/>
      <w:textAlignment w:val="baseline"/>
      <w:outlineLvl w:val="3"/>
    </w:pPr>
    <w:rPr>
      <w:rFonts w:ascii="Times New Roman" w:eastAsia="Times New Roman" w:hAnsi="Times New Roman" w:cs="Times New Roman"/>
      <w:b/>
      <w:color w:val="auto"/>
      <w:sz w:val="28"/>
      <w:szCs w:val="20"/>
      <w:lang w:val="es-ES" w:eastAsia="es-ES"/>
    </w:rPr>
  </w:style>
  <w:style w:type="paragraph" w:styleId="Ttulo5">
    <w:name w:val="heading 5"/>
    <w:basedOn w:val="Normal"/>
    <w:next w:val="Normal"/>
    <w:link w:val="Ttulo5Car"/>
    <w:unhideWhenUsed/>
    <w:qFormat/>
    <w:rsid w:val="003A5822"/>
    <w:pPr>
      <w:overflowPunct w:val="0"/>
      <w:autoSpaceDE w:val="0"/>
      <w:autoSpaceDN w:val="0"/>
      <w:adjustRightInd w:val="0"/>
      <w:spacing w:before="240" w:after="60"/>
      <w:textAlignment w:val="baseline"/>
      <w:outlineLvl w:val="4"/>
    </w:pPr>
    <w:rPr>
      <w:rFonts w:ascii="Calibri" w:eastAsia="Times New Roman" w:hAnsi="Calibri" w:cs="Times New Roman"/>
      <w:b/>
      <w:bCs/>
      <w:i/>
      <w:iCs/>
      <w:color w:val="auto"/>
      <w:sz w:val="26"/>
      <w:szCs w:val="26"/>
      <w:lang w:val="es-ES" w:eastAsia="es-ES"/>
    </w:rPr>
  </w:style>
  <w:style w:type="paragraph" w:styleId="Ttulo6">
    <w:name w:val="heading 6"/>
    <w:basedOn w:val="Normal"/>
    <w:next w:val="Normal"/>
    <w:link w:val="Ttulo6Car"/>
    <w:unhideWhenUsed/>
    <w:qFormat/>
    <w:rsid w:val="003A5822"/>
    <w:pPr>
      <w:overflowPunct w:val="0"/>
      <w:autoSpaceDE w:val="0"/>
      <w:autoSpaceDN w:val="0"/>
      <w:adjustRightInd w:val="0"/>
      <w:spacing w:before="240" w:after="60"/>
      <w:textAlignment w:val="baseline"/>
      <w:outlineLvl w:val="5"/>
    </w:pPr>
    <w:rPr>
      <w:rFonts w:ascii="Calibri" w:eastAsia="Times New Roman" w:hAnsi="Calibri" w:cs="Times New Roman"/>
      <w:b/>
      <w:bCs/>
      <w:color w:val="auto"/>
      <w:lang w:val="es-ES" w:eastAsia="es-ES"/>
    </w:rPr>
  </w:style>
  <w:style w:type="paragraph" w:styleId="Ttulo8">
    <w:name w:val="heading 8"/>
    <w:basedOn w:val="Normal"/>
    <w:next w:val="Normal"/>
    <w:link w:val="Ttulo8Car"/>
    <w:qFormat/>
    <w:rsid w:val="00524E1D"/>
    <w:pPr>
      <w:overflowPunct w:val="0"/>
      <w:autoSpaceDE w:val="0"/>
      <w:autoSpaceDN w:val="0"/>
      <w:adjustRightInd w:val="0"/>
      <w:spacing w:before="240" w:after="60"/>
      <w:textAlignment w:val="baseline"/>
      <w:outlineLvl w:val="7"/>
    </w:pPr>
    <w:rPr>
      <w:rFonts w:ascii="Times New Roman" w:eastAsia="Times New Roman" w:hAnsi="Times New Roman" w:cs="Times New Roman"/>
      <w:i/>
      <w:color w:val="auto"/>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nhideWhenUsed/>
    <w:rsid w:val="00650A99"/>
    <w:rPr>
      <w:rFonts w:ascii="Tahoma" w:hAnsi="Tahoma" w:cs="Tahoma"/>
      <w:sz w:val="16"/>
      <w:szCs w:val="16"/>
    </w:rPr>
  </w:style>
  <w:style w:type="character" w:customStyle="1" w:styleId="TextodegloboCar">
    <w:name w:val="Texto de globo Car"/>
    <w:basedOn w:val="Fuentedeprrafopredeter"/>
    <w:link w:val="Textodeglobo"/>
    <w:rsid w:val="00650A99"/>
    <w:rPr>
      <w:rFonts w:ascii="Tahoma" w:hAnsi="Tahoma" w:cs="Tahoma"/>
      <w:sz w:val="16"/>
      <w:szCs w:val="16"/>
    </w:rPr>
  </w:style>
  <w:style w:type="paragraph" w:styleId="Encabezado">
    <w:name w:val="header"/>
    <w:basedOn w:val="Normal"/>
    <w:link w:val="EncabezadoCar"/>
    <w:uiPriority w:val="99"/>
    <w:unhideWhenUsed/>
    <w:rsid w:val="00650A99"/>
    <w:pPr>
      <w:tabs>
        <w:tab w:val="center" w:pos="4419"/>
        <w:tab w:val="right" w:pos="8838"/>
      </w:tabs>
    </w:pPr>
  </w:style>
  <w:style w:type="character" w:customStyle="1" w:styleId="EncabezadoCar">
    <w:name w:val="Encabezado Car"/>
    <w:basedOn w:val="Fuentedeprrafopredeter"/>
    <w:link w:val="Encabezado"/>
    <w:uiPriority w:val="99"/>
    <w:rsid w:val="00650A99"/>
  </w:style>
  <w:style w:type="paragraph" w:styleId="Piedepgina">
    <w:name w:val="footer"/>
    <w:basedOn w:val="Normal"/>
    <w:link w:val="PiedepginaCar"/>
    <w:uiPriority w:val="99"/>
    <w:unhideWhenUsed/>
    <w:rsid w:val="00650A99"/>
    <w:pPr>
      <w:tabs>
        <w:tab w:val="center" w:pos="4419"/>
        <w:tab w:val="right" w:pos="8838"/>
      </w:tabs>
    </w:pPr>
  </w:style>
  <w:style w:type="character" w:customStyle="1" w:styleId="PiedepginaCar">
    <w:name w:val="Pie de página Car"/>
    <w:basedOn w:val="Fuentedeprrafopredeter"/>
    <w:link w:val="Piedepgina"/>
    <w:uiPriority w:val="99"/>
    <w:rsid w:val="00650A99"/>
  </w:style>
  <w:style w:type="character" w:styleId="Hipervnculo">
    <w:name w:val="Hyperlink"/>
    <w:basedOn w:val="Fuentedeprrafopredeter"/>
    <w:uiPriority w:val="99"/>
    <w:unhideWhenUsed/>
    <w:rsid w:val="00650A99"/>
    <w:rPr>
      <w:color w:val="0000FF" w:themeColor="hyperlink"/>
      <w:u w:val="single"/>
    </w:rPr>
  </w:style>
  <w:style w:type="paragraph" w:styleId="NormalWeb">
    <w:name w:val="Normal (Web)"/>
    <w:basedOn w:val="Normal"/>
    <w:unhideWhenUsed/>
    <w:rsid w:val="00670D69"/>
    <w:pPr>
      <w:spacing w:beforeAutospacing="1" w:after="100" w:afterAutospacing="1"/>
    </w:pPr>
    <w:rPr>
      <w:rFonts w:ascii="Times New Roman" w:eastAsia="Times New Roman" w:hAnsi="Times New Roman" w:cs="Times New Roman"/>
      <w:sz w:val="24"/>
      <w:szCs w:val="24"/>
    </w:rPr>
  </w:style>
  <w:style w:type="table" w:styleId="Tablaconcuadrcula">
    <w:name w:val="Table Grid"/>
    <w:basedOn w:val="Tablanormal"/>
    <w:rsid w:val="00AE45E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oindependienteCar">
    <w:name w:val="Texto independiente Car"/>
    <w:aliases w:val="body text Car,bt Car,contents Car,body tesx Car1,body tesx Car Car"/>
    <w:basedOn w:val="Fuentedeprrafopredeter"/>
    <w:link w:val="Textoindependiente"/>
    <w:locked/>
    <w:rsid w:val="006A5FCB"/>
    <w:rPr>
      <w:rFonts w:ascii="Tahoma" w:hAnsi="Tahoma" w:cs="Tahoma"/>
      <w:sz w:val="24"/>
      <w:szCs w:val="24"/>
      <w:lang w:val="es-ES" w:eastAsia="es-ES"/>
    </w:rPr>
  </w:style>
  <w:style w:type="paragraph" w:styleId="Textoindependiente">
    <w:name w:val="Body Text"/>
    <w:aliases w:val="body text,bt,contents,body tesx,body tesx Car"/>
    <w:basedOn w:val="Normal"/>
    <w:link w:val="TextoindependienteCar"/>
    <w:unhideWhenUsed/>
    <w:rsid w:val="006A5FCB"/>
    <w:pPr>
      <w:jc w:val="both"/>
    </w:pPr>
    <w:rPr>
      <w:rFonts w:ascii="Tahoma" w:hAnsi="Tahoma" w:cs="Tahoma"/>
      <w:sz w:val="24"/>
      <w:szCs w:val="24"/>
      <w:lang w:val="es-ES" w:eastAsia="es-ES"/>
    </w:rPr>
  </w:style>
  <w:style w:type="character" w:customStyle="1" w:styleId="TextoindependienteCar1">
    <w:name w:val="Texto independiente Car1"/>
    <w:basedOn w:val="Fuentedeprrafopredeter"/>
    <w:uiPriority w:val="99"/>
    <w:semiHidden/>
    <w:rsid w:val="006A5FCB"/>
  </w:style>
  <w:style w:type="paragraph" w:styleId="Prrafodelista">
    <w:name w:val="List Paragraph"/>
    <w:basedOn w:val="Normal"/>
    <w:uiPriority w:val="34"/>
    <w:qFormat/>
    <w:rsid w:val="006A5FCB"/>
    <w:pPr>
      <w:ind w:left="720"/>
      <w:contextualSpacing/>
    </w:pPr>
  </w:style>
  <w:style w:type="paragraph" w:styleId="Sinespaciado">
    <w:name w:val="No Spacing"/>
    <w:uiPriority w:val="1"/>
    <w:qFormat/>
    <w:rsid w:val="005E5E78"/>
    <w:pPr>
      <w:spacing w:after="0"/>
    </w:pPr>
    <w:rPr>
      <w:rFonts w:ascii="Arial" w:eastAsia="Arial" w:hAnsi="Arial" w:cs="Arial"/>
      <w:color w:val="000000"/>
      <w:lang w:eastAsia="es-CO"/>
    </w:rPr>
  </w:style>
  <w:style w:type="paragraph" w:styleId="Textoindependiente2">
    <w:name w:val="Body Text 2"/>
    <w:basedOn w:val="Normal"/>
    <w:link w:val="Textoindependiente2Car"/>
    <w:uiPriority w:val="99"/>
    <w:semiHidden/>
    <w:unhideWhenUsed/>
    <w:rsid w:val="003A5822"/>
    <w:pPr>
      <w:spacing w:after="120" w:line="480" w:lineRule="auto"/>
    </w:pPr>
  </w:style>
  <w:style w:type="character" w:customStyle="1" w:styleId="Textoindependiente2Car">
    <w:name w:val="Texto independiente 2 Car"/>
    <w:basedOn w:val="Fuentedeprrafopredeter"/>
    <w:link w:val="Textoindependiente2"/>
    <w:uiPriority w:val="99"/>
    <w:semiHidden/>
    <w:rsid w:val="003A5822"/>
    <w:rPr>
      <w:rFonts w:ascii="Arial" w:eastAsia="Arial" w:hAnsi="Arial" w:cs="Arial"/>
      <w:color w:val="000000"/>
      <w:lang w:eastAsia="es-CO"/>
    </w:rPr>
  </w:style>
  <w:style w:type="paragraph" w:styleId="Textoindependiente3">
    <w:name w:val="Body Text 3"/>
    <w:basedOn w:val="Normal"/>
    <w:link w:val="Textoindependiente3Car"/>
    <w:uiPriority w:val="99"/>
    <w:semiHidden/>
    <w:unhideWhenUsed/>
    <w:rsid w:val="003A5822"/>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3A5822"/>
    <w:rPr>
      <w:rFonts w:ascii="Arial" w:eastAsia="Arial" w:hAnsi="Arial" w:cs="Arial"/>
      <w:color w:val="000000"/>
      <w:sz w:val="16"/>
      <w:szCs w:val="16"/>
      <w:lang w:eastAsia="es-CO"/>
    </w:rPr>
  </w:style>
  <w:style w:type="character" w:customStyle="1" w:styleId="Ttulo1Car">
    <w:name w:val="Título 1 Car"/>
    <w:basedOn w:val="Fuentedeprrafopredeter"/>
    <w:link w:val="Ttulo1"/>
    <w:rsid w:val="003A5822"/>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rsid w:val="003A5822"/>
    <w:rPr>
      <w:rFonts w:ascii="Times New Roman" w:eastAsia="Times New Roman" w:hAnsi="Times New Roman" w:cs="Times New Roman"/>
      <w:b/>
      <w:sz w:val="36"/>
      <w:szCs w:val="20"/>
      <w:lang w:val="es-ES" w:eastAsia="es-ES"/>
    </w:rPr>
  </w:style>
  <w:style w:type="character" w:customStyle="1" w:styleId="Ttulo3Car">
    <w:name w:val="Título 3 Car"/>
    <w:basedOn w:val="Fuentedeprrafopredeter"/>
    <w:link w:val="Ttulo3"/>
    <w:rsid w:val="003A5822"/>
    <w:rPr>
      <w:rFonts w:ascii="Times New Roman" w:eastAsia="Times New Roman" w:hAnsi="Times New Roman" w:cs="Times New Roman"/>
      <w:b/>
      <w:sz w:val="27"/>
      <w:szCs w:val="20"/>
      <w:lang w:val="es-ES" w:eastAsia="es-ES"/>
    </w:rPr>
  </w:style>
  <w:style w:type="character" w:customStyle="1" w:styleId="Ttulo5Car">
    <w:name w:val="Título 5 Car"/>
    <w:basedOn w:val="Fuentedeprrafopredeter"/>
    <w:link w:val="Ttulo5"/>
    <w:rsid w:val="003A5822"/>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rsid w:val="003A5822"/>
    <w:rPr>
      <w:rFonts w:ascii="Calibri" w:eastAsia="Times New Roman" w:hAnsi="Calibri" w:cs="Times New Roman"/>
      <w:b/>
      <w:bCs/>
      <w:lang w:val="es-ES" w:eastAsia="es-ES"/>
    </w:rPr>
  </w:style>
  <w:style w:type="paragraph" w:styleId="Puesto">
    <w:name w:val="Title"/>
    <w:basedOn w:val="Normal"/>
    <w:link w:val="PuestoCar"/>
    <w:qFormat/>
    <w:rsid w:val="003A5822"/>
    <w:pPr>
      <w:jc w:val="center"/>
    </w:pPr>
    <w:rPr>
      <w:rFonts w:ascii="Times New Roman" w:eastAsia="Times New Roman" w:hAnsi="Times New Roman" w:cs="Times New Roman"/>
      <w:b/>
      <w:color w:val="auto"/>
      <w:sz w:val="24"/>
      <w:szCs w:val="20"/>
      <w:lang w:val="es-ES_tradnl" w:eastAsia="es-ES"/>
    </w:rPr>
  </w:style>
  <w:style w:type="character" w:customStyle="1" w:styleId="PuestoCar">
    <w:name w:val="Puesto Car"/>
    <w:basedOn w:val="Fuentedeprrafopredeter"/>
    <w:link w:val="Puesto"/>
    <w:rsid w:val="003A5822"/>
    <w:rPr>
      <w:rFonts w:ascii="Times New Roman" w:eastAsia="Times New Roman" w:hAnsi="Times New Roman" w:cs="Times New Roman"/>
      <w:b/>
      <w:sz w:val="24"/>
      <w:szCs w:val="20"/>
      <w:lang w:val="es-ES_tradnl" w:eastAsia="es-ES"/>
    </w:rPr>
  </w:style>
  <w:style w:type="paragraph" w:customStyle="1" w:styleId="Textosinformato1">
    <w:name w:val="Texto sin formato1"/>
    <w:basedOn w:val="Normal"/>
    <w:rsid w:val="003A5822"/>
    <w:rPr>
      <w:rFonts w:ascii="Courier New" w:eastAsia="Times New Roman" w:hAnsi="Courier New" w:cs="Times New Roman"/>
      <w:color w:val="auto"/>
      <w:sz w:val="20"/>
      <w:szCs w:val="24"/>
      <w:lang w:eastAsia="es-ES"/>
    </w:rPr>
  </w:style>
  <w:style w:type="paragraph" w:customStyle="1" w:styleId="xl53">
    <w:name w:val="xl53"/>
    <w:basedOn w:val="Normal"/>
    <w:rsid w:val="003A5822"/>
    <w:pPr>
      <w:spacing w:beforeAutospacing="1" w:after="100" w:afterAutospacing="1"/>
      <w:jc w:val="center"/>
    </w:pPr>
    <w:rPr>
      <w:rFonts w:eastAsia="Times New Roman"/>
      <w:b/>
      <w:bCs/>
      <w:color w:val="auto"/>
      <w:sz w:val="24"/>
      <w:szCs w:val="24"/>
      <w:lang w:val="es-ES" w:eastAsia="es-ES"/>
    </w:rPr>
  </w:style>
  <w:style w:type="table" w:styleId="Cuadrculaclara-nfasis6">
    <w:name w:val="Light Grid Accent 6"/>
    <w:basedOn w:val="Tablanormal"/>
    <w:uiPriority w:val="62"/>
    <w:rsid w:val="0007281C"/>
    <w:pPr>
      <w:spacing w:before="0" w:after="0"/>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customStyle="1" w:styleId="Default">
    <w:name w:val="Default"/>
    <w:rsid w:val="00697D59"/>
    <w:pPr>
      <w:autoSpaceDE w:val="0"/>
      <w:autoSpaceDN w:val="0"/>
      <w:adjustRightInd w:val="0"/>
      <w:spacing w:before="0" w:after="0"/>
    </w:pPr>
    <w:rPr>
      <w:rFonts w:ascii="Trebuchet MS" w:hAnsi="Trebuchet MS" w:cs="Trebuchet MS"/>
      <w:color w:val="000000"/>
      <w:sz w:val="24"/>
      <w:szCs w:val="24"/>
    </w:rPr>
  </w:style>
  <w:style w:type="character" w:customStyle="1" w:styleId="Ttulo4Car">
    <w:name w:val="Título 4 Car"/>
    <w:basedOn w:val="Fuentedeprrafopredeter"/>
    <w:link w:val="Ttulo4"/>
    <w:rsid w:val="00524E1D"/>
    <w:rPr>
      <w:rFonts w:ascii="Times New Roman" w:eastAsia="Times New Roman" w:hAnsi="Times New Roman" w:cs="Times New Roman"/>
      <w:b/>
      <w:sz w:val="28"/>
      <w:szCs w:val="20"/>
      <w:lang w:val="es-ES" w:eastAsia="es-ES"/>
    </w:rPr>
  </w:style>
  <w:style w:type="character" w:customStyle="1" w:styleId="Ttulo8Car">
    <w:name w:val="Título 8 Car"/>
    <w:basedOn w:val="Fuentedeprrafopredeter"/>
    <w:link w:val="Ttulo8"/>
    <w:rsid w:val="00524E1D"/>
    <w:rPr>
      <w:rFonts w:ascii="Times New Roman" w:eastAsia="Times New Roman" w:hAnsi="Times New Roman" w:cs="Times New Roman"/>
      <w:i/>
      <w:sz w:val="24"/>
      <w:szCs w:val="20"/>
      <w:lang w:val="es-ES" w:eastAsia="es-ES"/>
    </w:rPr>
  </w:style>
  <w:style w:type="paragraph" w:styleId="Sangradetextonormal">
    <w:name w:val="Body Text Indent"/>
    <w:basedOn w:val="Normal"/>
    <w:link w:val="SangradetextonormalCar"/>
    <w:unhideWhenUsed/>
    <w:rsid w:val="00524E1D"/>
    <w:pPr>
      <w:overflowPunct w:val="0"/>
      <w:autoSpaceDE w:val="0"/>
      <w:autoSpaceDN w:val="0"/>
      <w:adjustRightInd w:val="0"/>
      <w:spacing w:before="0" w:after="120"/>
      <w:ind w:left="360"/>
      <w:textAlignment w:val="baseline"/>
    </w:pPr>
    <w:rPr>
      <w:rFonts w:eastAsia="Times New Roman" w:cs="Times New Roman"/>
      <w:color w:val="auto"/>
      <w:sz w:val="24"/>
      <w:szCs w:val="20"/>
      <w:lang w:eastAsia="es-ES"/>
    </w:rPr>
  </w:style>
  <w:style w:type="character" w:customStyle="1" w:styleId="SangradetextonormalCar">
    <w:name w:val="Sangría de texto normal Car"/>
    <w:basedOn w:val="Fuentedeprrafopredeter"/>
    <w:link w:val="Sangradetextonormal"/>
    <w:rsid w:val="00524E1D"/>
    <w:rPr>
      <w:rFonts w:ascii="Arial" w:eastAsia="Times New Roman" w:hAnsi="Arial" w:cs="Times New Roman"/>
      <w:sz w:val="24"/>
      <w:szCs w:val="20"/>
      <w:lang w:eastAsia="es-ES"/>
    </w:rPr>
  </w:style>
  <w:style w:type="character" w:customStyle="1" w:styleId="Hipervnculo1">
    <w:name w:val="Hipervínculo1"/>
    <w:rsid w:val="00524E1D"/>
    <w:rPr>
      <w:color w:val="0000FF"/>
      <w:u w:val="none"/>
    </w:rPr>
  </w:style>
  <w:style w:type="character" w:customStyle="1" w:styleId="mw-headline">
    <w:name w:val="mw-headline"/>
    <w:basedOn w:val="Fuentedeprrafopredeter"/>
    <w:rsid w:val="00524E1D"/>
  </w:style>
  <w:style w:type="character" w:customStyle="1" w:styleId="editsection">
    <w:name w:val="editsection"/>
    <w:basedOn w:val="Fuentedeprrafopredeter"/>
    <w:rsid w:val="00524E1D"/>
  </w:style>
  <w:style w:type="paragraph" w:customStyle="1" w:styleId="Textoindependiente21">
    <w:name w:val="Texto independiente 21"/>
    <w:basedOn w:val="Normal"/>
    <w:rsid w:val="00524E1D"/>
    <w:pPr>
      <w:overflowPunct w:val="0"/>
      <w:autoSpaceDE w:val="0"/>
      <w:autoSpaceDN w:val="0"/>
      <w:adjustRightInd w:val="0"/>
      <w:spacing w:before="0" w:after="0"/>
      <w:jc w:val="both"/>
      <w:textAlignment w:val="baseline"/>
    </w:pPr>
    <w:rPr>
      <w:rFonts w:eastAsia="Times New Roman" w:cs="Times New Roman"/>
      <w:color w:val="auto"/>
      <w:sz w:val="24"/>
      <w:szCs w:val="20"/>
      <w:lang w:eastAsia="es-ES"/>
    </w:rPr>
  </w:style>
  <w:style w:type="paragraph" w:customStyle="1" w:styleId="Textoindependiente31">
    <w:name w:val="Texto independiente 31"/>
    <w:basedOn w:val="Normal"/>
    <w:rsid w:val="00524E1D"/>
    <w:pPr>
      <w:overflowPunct w:val="0"/>
      <w:autoSpaceDE w:val="0"/>
      <w:autoSpaceDN w:val="0"/>
      <w:adjustRightInd w:val="0"/>
      <w:spacing w:before="0" w:after="0"/>
      <w:jc w:val="both"/>
      <w:textAlignment w:val="baseline"/>
    </w:pPr>
    <w:rPr>
      <w:rFonts w:eastAsia="Times New Roman" w:cs="Times New Roman"/>
      <w:b/>
      <w:color w:val="auto"/>
      <w:sz w:val="24"/>
      <w:szCs w:val="20"/>
      <w:lang w:val="es-ES" w:eastAsia="es-ES"/>
    </w:rPr>
  </w:style>
  <w:style w:type="table" w:styleId="Listaclara-nfasis1">
    <w:name w:val="Light List Accent 1"/>
    <w:basedOn w:val="Tablanormal"/>
    <w:uiPriority w:val="61"/>
    <w:rsid w:val="00524E1D"/>
    <w:pPr>
      <w:spacing w:before="0"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Cuadrculaclara-nfasis2">
    <w:name w:val="Light Grid Accent 2"/>
    <w:basedOn w:val="Tablanormal"/>
    <w:uiPriority w:val="62"/>
    <w:rsid w:val="00E566A8"/>
    <w:pPr>
      <w:spacing w:before="0" w:after="0"/>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apple-converted-space">
    <w:name w:val="apple-converted-space"/>
    <w:basedOn w:val="Fuentedeprrafopredeter"/>
    <w:rsid w:val="005F5D93"/>
  </w:style>
  <w:style w:type="character" w:styleId="Nmerodelnea">
    <w:name w:val="line number"/>
    <w:basedOn w:val="Fuentedeprrafopredeter"/>
    <w:uiPriority w:val="99"/>
    <w:semiHidden/>
    <w:unhideWhenUsed/>
    <w:rsid w:val="005F45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258">
      <w:bodyDiv w:val="1"/>
      <w:marLeft w:val="0"/>
      <w:marRight w:val="0"/>
      <w:marTop w:val="0"/>
      <w:marBottom w:val="0"/>
      <w:divBdr>
        <w:top w:val="none" w:sz="0" w:space="0" w:color="auto"/>
        <w:left w:val="none" w:sz="0" w:space="0" w:color="auto"/>
        <w:bottom w:val="none" w:sz="0" w:space="0" w:color="auto"/>
        <w:right w:val="none" w:sz="0" w:space="0" w:color="auto"/>
      </w:divBdr>
    </w:div>
    <w:div w:id="77875691">
      <w:bodyDiv w:val="1"/>
      <w:marLeft w:val="0"/>
      <w:marRight w:val="0"/>
      <w:marTop w:val="0"/>
      <w:marBottom w:val="0"/>
      <w:divBdr>
        <w:top w:val="none" w:sz="0" w:space="0" w:color="auto"/>
        <w:left w:val="none" w:sz="0" w:space="0" w:color="auto"/>
        <w:bottom w:val="none" w:sz="0" w:space="0" w:color="auto"/>
        <w:right w:val="none" w:sz="0" w:space="0" w:color="auto"/>
      </w:divBdr>
    </w:div>
    <w:div w:id="103891471">
      <w:bodyDiv w:val="1"/>
      <w:marLeft w:val="0"/>
      <w:marRight w:val="0"/>
      <w:marTop w:val="0"/>
      <w:marBottom w:val="0"/>
      <w:divBdr>
        <w:top w:val="none" w:sz="0" w:space="0" w:color="auto"/>
        <w:left w:val="none" w:sz="0" w:space="0" w:color="auto"/>
        <w:bottom w:val="none" w:sz="0" w:space="0" w:color="auto"/>
        <w:right w:val="none" w:sz="0" w:space="0" w:color="auto"/>
      </w:divBdr>
    </w:div>
    <w:div w:id="105316843">
      <w:bodyDiv w:val="1"/>
      <w:marLeft w:val="0"/>
      <w:marRight w:val="0"/>
      <w:marTop w:val="0"/>
      <w:marBottom w:val="0"/>
      <w:divBdr>
        <w:top w:val="none" w:sz="0" w:space="0" w:color="auto"/>
        <w:left w:val="none" w:sz="0" w:space="0" w:color="auto"/>
        <w:bottom w:val="none" w:sz="0" w:space="0" w:color="auto"/>
        <w:right w:val="none" w:sz="0" w:space="0" w:color="auto"/>
      </w:divBdr>
    </w:div>
    <w:div w:id="117341432">
      <w:bodyDiv w:val="1"/>
      <w:marLeft w:val="0"/>
      <w:marRight w:val="0"/>
      <w:marTop w:val="0"/>
      <w:marBottom w:val="0"/>
      <w:divBdr>
        <w:top w:val="none" w:sz="0" w:space="0" w:color="auto"/>
        <w:left w:val="none" w:sz="0" w:space="0" w:color="auto"/>
        <w:bottom w:val="none" w:sz="0" w:space="0" w:color="auto"/>
        <w:right w:val="none" w:sz="0" w:space="0" w:color="auto"/>
      </w:divBdr>
    </w:div>
    <w:div w:id="121193642">
      <w:bodyDiv w:val="1"/>
      <w:marLeft w:val="0"/>
      <w:marRight w:val="0"/>
      <w:marTop w:val="0"/>
      <w:marBottom w:val="0"/>
      <w:divBdr>
        <w:top w:val="none" w:sz="0" w:space="0" w:color="auto"/>
        <w:left w:val="none" w:sz="0" w:space="0" w:color="auto"/>
        <w:bottom w:val="none" w:sz="0" w:space="0" w:color="auto"/>
        <w:right w:val="none" w:sz="0" w:space="0" w:color="auto"/>
      </w:divBdr>
    </w:div>
    <w:div w:id="136843202">
      <w:bodyDiv w:val="1"/>
      <w:marLeft w:val="0"/>
      <w:marRight w:val="0"/>
      <w:marTop w:val="0"/>
      <w:marBottom w:val="0"/>
      <w:divBdr>
        <w:top w:val="none" w:sz="0" w:space="0" w:color="auto"/>
        <w:left w:val="none" w:sz="0" w:space="0" w:color="auto"/>
        <w:bottom w:val="none" w:sz="0" w:space="0" w:color="auto"/>
        <w:right w:val="none" w:sz="0" w:space="0" w:color="auto"/>
      </w:divBdr>
    </w:div>
    <w:div w:id="141894818">
      <w:bodyDiv w:val="1"/>
      <w:marLeft w:val="0"/>
      <w:marRight w:val="0"/>
      <w:marTop w:val="0"/>
      <w:marBottom w:val="0"/>
      <w:divBdr>
        <w:top w:val="none" w:sz="0" w:space="0" w:color="auto"/>
        <w:left w:val="none" w:sz="0" w:space="0" w:color="auto"/>
        <w:bottom w:val="none" w:sz="0" w:space="0" w:color="auto"/>
        <w:right w:val="none" w:sz="0" w:space="0" w:color="auto"/>
      </w:divBdr>
    </w:div>
    <w:div w:id="151802257">
      <w:bodyDiv w:val="1"/>
      <w:marLeft w:val="0"/>
      <w:marRight w:val="0"/>
      <w:marTop w:val="0"/>
      <w:marBottom w:val="0"/>
      <w:divBdr>
        <w:top w:val="none" w:sz="0" w:space="0" w:color="auto"/>
        <w:left w:val="none" w:sz="0" w:space="0" w:color="auto"/>
        <w:bottom w:val="none" w:sz="0" w:space="0" w:color="auto"/>
        <w:right w:val="none" w:sz="0" w:space="0" w:color="auto"/>
      </w:divBdr>
    </w:div>
    <w:div w:id="170535872">
      <w:bodyDiv w:val="1"/>
      <w:marLeft w:val="0"/>
      <w:marRight w:val="0"/>
      <w:marTop w:val="0"/>
      <w:marBottom w:val="0"/>
      <w:divBdr>
        <w:top w:val="none" w:sz="0" w:space="0" w:color="auto"/>
        <w:left w:val="none" w:sz="0" w:space="0" w:color="auto"/>
        <w:bottom w:val="none" w:sz="0" w:space="0" w:color="auto"/>
        <w:right w:val="none" w:sz="0" w:space="0" w:color="auto"/>
      </w:divBdr>
    </w:div>
    <w:div w:id="268395248">
      <w:bodyDiv w:val="1"/>
      <w:marLeft w:val="0"/>
      <w:marRight w:val="0"/>
      <w:marTop w:val="0"/>
      <w:marBottom w:val="0"/>
      <w:divBdr>
        <w:top w:val="none" w:sz="0" w:space="0" w:color="auto"/>
        <w:left w:val="none" w:sz="0" w:space="0" w:color="auto"/>
        <w:bottom w:val="none" w:sz="0" w:space="0" w:color="auto"/>
        <w:right w:val="none" w:sz="0" w:space="0" w:color="auto"/>
      </w:divBdr>
    </w:div>
    <w:div w:id="338195746">
      <w:bodyDiv w:val="1"/>
      <w:marLeft w:val="0"/>
      <w:marRight w:val="0"/>
      <w:marTop w:val="0"/>
      <w:marBottom w:val="0"/>
      <w:divBdr>
        <w:top w:val="none" w:sz="0" w:space="0" w:color="auto"/>
        <w:left w:val="none" w:sz="0" w:space="0" w:color="auto"/>
        <w:bottom w:val="none" w:sz="0" w:space="0" w:color="auto"/>
        <w:right w:val="none" w:sz="0" w:space="0" w:color="auto"/>
      </w:divBdr>
    </w:div>
    <w:div w:id="357123460">
      <w:bodyDiv w:val="1"/>
      <w:marLeft w:val="0"/>
      <w:marRight w:val="0"/>
      <w:marTop w:val="0"/>
      <w:marBottom w:val="0"/>
      <w:divBdr>
        <w:top w:val="none" w:sz="0" w:space="0" w:color="auto"/>
        <w:left w:val="none" w:sz="0" w:space="0" w:color="auto"/>
        <w:bottom w:val="none" w:sz="0" w:space="0" w:color="auto"/>
        <w:right w:val="none" w:sz="0" w:space="0" w:color="auto"/>
      </w:divBdr>
    </w:div>
    <w:div w:id="379012021">
      <w:bodyDiv w:val="1"/>
      <w:marLeft w:val="0"/>
      <w:marRight w:val="0"/>
      <w:marTop w:val="0"/>
      <w:marBottom w:val="0"/>
      <w:divBdr>
        <w:top w:val="none" w:sz="0" w:space="0" w:color="auto"/>
        <w:left w:val="none" w:sz="0" w:space="0" w:color="auto"/>
        <w:bottom w:val="none" w:sz="0" w:space="0" w:color="auto"/>
        <w:right w:val="none" w:sz="0" w:space="0" w:color="auto"/>
      </w:divBdr>
    </w:div>
    <w:div w:id="399670160">
      <w:bodyDiv w:val="1"/>
      <w:marLeft w:val="0"/>
      <w:marRight w:val="0"/>
      <w:marTop w:val="0"/>
      <w:marBottom w:val="0"/>
      <w:divBdr>
        <w:top w:val="none" w:sz="0" w:space="0" w:color="auto"/>
        <w:left w:val="none" w:sz="0" w:space="0" w:color="auto"/>
        <w:bottom w:val="none" w:sz="0" w:space="0" w:color="auto"/>
        <w:right w:val="none" w:sz="0" w:space="0" w:color="auto"/>
      </w:divBdr>
    </w:div>
    <w:div w:id="434784909">
      <w:bodyDiv w:val="1"/>
      <w:marLeft w:val="0"/>
      <w:marRight w:val="0"/>
      <w:marTop w:val="0"/>
      <w:marBottom w:val="0"/>
      <w:divBdr>
        <w:top w:val="none" w:sz="0" w:space="0" w:color="auto"/>
        <w:left w:val="none" w:sz="0" w:space="0" w:color="auto"/>
        <w:bottom w:val="none" w:sz="0" w:space="0" w:color="auto"/>
        <w:right w:val="none" w:sz="0" w:space="0" w:color="auto"/>
      </w:divBdr>
    </w:div>
    <w:div w:id="464586509">
      <w:bodyDiv w:val="1"/>
      <w:marLeft w:val="0"/>
      <w:marRight w:val="0"/>
      <w:marTop w:val="0"/>
      <w:marBottom w:val="0"/>
      <w:divBdr>
        <w:top w:val="none" w:sz="0" w:space="0" w:color="auto"/>
        <w:left w:val="none" w:sz="0" w:space="0" w:color="auto"/>
        <w:bottom w:val="none" w:sz="0" w:space="0" w:color="auto"/>
        <w:right w:val="none" w:sz="0" w:space="0" w:color="auto"/>
      </w:divBdr>
    </w:div>
    <w:div w:id="579607475">
      <w:bodyDiv w:val="1"/>
      <w:marLeft w:val="0"/>
      <w:marRight w:val="0"/>
      <w:marTop w:val="0"/>
      <w:marBottom w:val="0"/>
      <w:divBdr>
        <w:top w:val="none" w:sz="0" w:space="0" w:color="auto"/>
        <w:left w:val="none" w:sz="0" w:space="0" w:color="auto"/>
        <w:bottom w:val="none" w:sz="0" w:space="0" w:color="auto"/>
        <w:right w:val="none" w:sz="0" w:space="0" w:color="auto"/>
      </w:divBdr>
    </w:div>
    <w:div w:id="639925935">
      <w:bodyDiv w:val="1"/>
      <w:marLeft w:val="0"/>
      <w:marRight w:val="0"/>
      <w:marTop w:val="0"/>
      <w:marBottom w:val="0"/>
      <w:divBdr>
        <w:top w:val="none" w:sz="0" w:space="0" w:color="auto"/>
        <w:left w:val="none" w:sz="0" w:space="0" w:color="auto"/>
        <w:bottom w:val="none" w:sz="0" w:space="0" w:color="auto"/>
        <w:right w:val="none" w:sz="0" w:space="0" w:color="auto"/>
      </w:divBdr>
    </w:div>
    <w:div w:id="678118413">
      <w:bodyDiv w:val="1"/>
      <w:marLeft w:val="0"/>
      <w:marRight w:val="0"/>
      <w:marTop w:val="0"/>
      <w:marBottom w:val="0"/>
      <w:divBdr>
        <w:top w:val="none" w:sz="0" w:space="0" w:color="auto"/>
        <w:left w:val="none" w:sz="0" w:space="0" w:color="auto"/>
        <w:bottom w:val="none" w:sz="0" w:space="0" w:color="auto"/>
        <w:right w:val="none" w:sz="0" w:space="0" w:color="auto"/>
      </w:divBdr>
    </w:div>
    <w:div w:id="848329293">
      <w:bodyDiv w:val="1"/>
      <w:marLeft w:val="0"/>
      <w:marRight w:val="0"/>
      <w:marTop w:val="0"/>
      <w:marBottom w:val="0"/>
      <w:divBdr>
        <w:top w:val="none" w:sz="0" w:space="0" w:color="auto"/>
        <w:left w:val="none" w:sz="0" w:space="0" w:color="auto"/>
        <w:bottom w:val="none" w:sz="0" w:space="0" w:color="auto"/>
        <w:right w:val="none" w:sz="0" w:space="0" w:color="auto"/>
      </w:divBdr>
    </w:div>
    <w:div w:id="853692665">
      <w:bodyDiv w:val="1"/>
      <w:marLeft w:val="0"/>
      <w:marRight w:val="0"/>
      <w:marTop w:val="0"/>
      <w:marBottom w:val="0"/>
      <w:divBdr>
        <w:top w:val="none" w:sz="0" w:space="0" w:color="auto"/>
        <w:left w:val="none" w:sz="0" w:space="0" w:color="auto"/>
        <w:bottom w:val="none" w:sz="0" w:space="0" w:color="auto"/>
        <w:right w:val="none" w:sz="0" w:space="0" w:color="auto"/>
      </w:divBdr>
    </w:div>
    <w:div w:id="915750550">
      <w:bodyDiv w:val="1"/>
      <w:marLeft w:val="0"/>
      <w:marRight w:val="0"/>
      <w:marTop w:val="0"/>
      <w:marBottom w:val="0"/>
      <w:divBdr>
        <w:top w:val="none" w:sz="0" w:space="0" w:color="auto"/>
        <w:left w:val="none" w:sz="0" w:space="0" w:color="auto"/>
        <w:bottom w:val="none" w:sz="0" w:space="0" w:color="auto"/>
        <w:right w:val="none" w:sz="0" w:space="0" w:color="auto"/>
      </w:divBdr>
    </w:div>
    <w:div w:id="923027740">
      <w:bodyDiv w:val="1"/>
      <w:marLeft w:val="0"/>
      <w:marRight w:val="0"/>
      <w:marTop w:val="0"/>
      <w:marBottom w:val="0"/>
      <w:divBdr>
        <w:top w:val="none" w:sz="0" w:space="0" w:color="auto"/>
        <w:left w:val="none" w:sz="0" w:space="0" w:color="auto"/>
        <w:bottom w:val="none" w:sz="0" w:space="0" w:color="auto"/>
        <w:right w:val="none" w:sz="0" w:space="0" w:color="auto"/>
      </w:divBdr>
    </w:div>
    <w:div w:id="930971438">
      <w:bodyDiv w:val="1"/>
      <w:marLeft w:val="0"/>
      <w:marRight w:val="0"/>
      <w:marTop w:val="0"/>
      <w:marBottom w:val="0"/>
      <w:divBdr>
        <w:top w:val="none" w:sz="0" w:space="0" w:color="auto"/>
        <w:left w:val="none" w:sz="0" w:space="0" w:color="auto"/>
        <w:bottom w:val="none" w:sz="0" w:space="0" w:color="auto"/>
        <w:right w:val="none" w:sz="0" w:space="0" w:color="auto"/>
      </w:divBdr>
    </w:div>
    <w:div w:id="933979398">
      <w:bodyDiv w:val="1"/>
      <w:marLeft w:val="0"/>
      <w:marRight w:val="0"/>
      <w:marTop w:val="0"/>
      <w:marBottom w:val="0"/>
      <w:divBdr>
        <w:top w:val="none" w:sz="0" w:space="0" w:color="auto"/>
        <w:left w:val="none" w:sz="0" w:space="0" w:color="auto"/>
        <w:bottom w:val="none" w:sz="0" w:space="0" w:color="auto"/>
        <w:right w:val="none" w:sz="0" w:space="0" w:color="auto"/>
      </w:divBdr>
    </w:div>
    <w:div w:id="973289873">
      <w:bodyDiv w:val="1"/>
      <w:marLeft w:val="0"/>
      <w:marRight w:val="0"/>
      <w:marTop w:val="0"/>
      <w:marBottom w:val="0"/>
      <w:divBdr>
        <w:top w:val="none" w:sz="0" w:space="0" w:color="auto"/>
        <w:left w:val="none" w:sz="0" w:space="0" w:color="auto"/>
        <w:bottom w:val="none" w:sz="0" w:space="0" w:color="auto"/>
        <w:right w:val="none" w:sz="0" w:space="0" w:color="auto"/>
      </w:divBdr>
    </w:div>
    <w:div w:id="1025447832">
      <w:bodyDiv w:val="1"/>
      <w:marLeft w:val="0"/>
      <w:marRight w:val="0"/>
      <w:marTop w:val="0"/>
      <w:marBottom w:val="0"/>
      <w:divBdr>
        <w:top w:val="none" w:sz="0" w:space="0" w:color="auto"/>
        <w:left w:val="none" w:sz="0" w:space="0" w:color="auto"/>
        <w:bottom w:val="none" w:sz="0" w:space="0" w:color="auto"/>
        <w:right w:val="none" w:sz="0" w:space="0" w:color="auto"/>
      </w:divBdr>
    </w:div>
    <w:div w:id="1041394660">
      <w:bodyDiv w:val="1"/>
      <w:marLeft w:val="0"/>
      <w:marRight w:val="0"/>
      <w:marTop w:val="0"/>
      <w:marBottom w:val="0"/>
      <w:divBdr>
        <w:top w:val="none" w:sz="0" w:space="0" w:color="auto"/>
        <w:left w:val="none" w:sz="0" w:space="0" w:color="auto"/>
        <w:bottom w:val="none" w:sz="0" w:space="0" w:color="auto"/>
        <w:right w:val="none" w:sz="0" w:space="0" w:color="auto"/>
      </w:divBdr>
    </w:div>
    <w:div w:id="1044983491">
      <w:bodyDiv w:val="1"/>
      <w:marLeft w:val="0"/>
      <w:marRight w:val="0"/>
      <w:marTop w:val="0"/>
      <w:marBottom w:val="0"/>
      <w:divBdr>
        <w:top w:val="none" w:sz="0" w:space="0" w:color="auto"/>
        <w:left w:val="none" w:sz="0" w:space="0" w:color="auto"/>
        <w:bottom w:val="none" w:sz="0" w:space="0" w:color="auto"/>
        <w:right w:val="none" w:sz="0" w:space="0" w:color="auto"/>
      </w:divBdr>
    </w:div>
    <w:div w:id="1076979015">
      <w:bodyDiv w:val="1"/>
      <w:marLeft w:val="0"/>
      <w:marRight w:val="0"/>
      <w:marTop w:val="0"/>
      <w:marBottom w:val="0"/>
      <w:divBdr>
        <w:top w:val="none" w:sz="0" w:space="0" w:color="auto"/>
        <w:left w:val="none" w:sz="0" w:space="0" w:color="auto"/>
        <w:bottom w:val="none" w:sz="0" w:space="0" w:color="auto"/>
        <w:right w:val="none" w:sz="0" w:space="0" w:color="auto"/>
      </w:divBdr>
    </w:div>
    <w:div w:id="1109811397">
      <w:bodyDiv w:val="1"/>
      <w:marLeft w:val="0"/>
      <w:marRight w:val="0"/>
      <w:marTop w:val="0"/>
      <w:marBottom w:val="0"/>
      <w:divBdr>
        <w:top w:val="none" w:sz="0" w:space="0" w:color="auto"/>
        <w:left w:val="none" w:sz="0" w:space="0" w:color="auto"/>
        <w:bottom w:val="none" w:sz="0" w:space="0" w:color="auto"/>
        <w:right w:val="none" w:sz="0" w:space="0" w:color="auto"/>
      </w:divBdr>
    </w:div>
    <w:div w:id="1206256331">
      <w:bodyDiv w:val="1"/>
      <w:marLeft w:val="0"/>
      <w:marRight w:val="0"/>
      <w:marTop w:val="0"/>
      <w:marBottom w:val="0"/>
      <w:divBdr>
        <w:top w:val="none" w:sz="0" w:space="0" w:color="auto"/>
        <w:left w:val="none" w:sz="0" w:space="0" w:color="auto"/>
        <w:bottom w:val="none" w:sz="0" w:space="0" w:color="auto"/>
        <w:right w:val="none" w:sz="0" w:space="0" w:color="auto"/>
      </w:divBdr>
    </w:div>
    <w:div w:id="1243368878">
      <w:bodyDiv w:val="1"/>
      <w:marLeft w:val="0"/>
      <w:marRight w:val="0"/>
      <w:marTop w:val="0"/>
      <w:marBottom w:val="0"/>
      <w:divBdr>
        <w:top w:val="none" w:sz="0" w:space="0" w:color="auto"/>
        <w:left w:val="none" w:sz="0" w:space="0" w:color="auto"/>
        <w:bottom w:val="none" w:sz="0" w:space="0" w:color="auto"/>
        <w:right w:val="none" w:sz="0" w:space="0" w:color="auto"/>
      </w:divBdr>
    </w:div>
    <w:div w:id="1244220147">
      <w:bodyDiv w:val="1"/>
      <w:marLeft w:val="0"/>
      <w:marRight w:val="0"/>
      <w:marTop w:val="0"/>
      <w:marBottom w:val="0"/>
      <w:divBdr>
        <w:top w:val="none" w:sz="0" w:space="0" w:color="auto"/>
        <w:left w:val="none" w:sz="0" w:space="0" w:color="auto"/>
        <w:bottom w:val="none" w:sz="0" w:space="0" w:color="auto"/>
        <w:right w:val="none" w:sz="0" w:space="0" w:color="auto"/>
      </w:divBdr>
    </w:div>
    <w:div w:id="1251113980">
      <w:bodyDiv w:val="1"/>
      <w:marLeft w:val="0"/>
      <w:marRight w:val="0"/>
      <w:marTop w:val="0"/>
      <w:marBottom w:val="0"/>
      <w:divBdr>
        <w:top w:val="none" w:sz="0" w:space="0" w:color="auto"/>
        <w:left w:val="none" w:sz="0" w:space="0" w:color="auto"/>
        <w:bottom w:val="none" w:sz="0" w:space="0" w:color="auto"/>
        <w:right w:val="none" w:sz="0" w:space="0" w:color="auto"/>
      </w:divBdr>
    </w:div>
    <w:div w:id="1347714617">
      <w:bodyDiv w:val="1"/>
      <w:marLeft w:val="0"/>
      <w:marRight w:val="0"/>
      <w:marTop w:val="0"/>
      <w:marBottom w:val="0"/>
      <w:divBdr>
        <w:top w:val="none" w:sz="0" w:space="0" w:color="auto"/>
        <w:left w:val="none" w:sz="0" w:space="0" w:color="auto"/>
        <w:bottom w:val="none" w:sz="0" w:space="0" w:color="auto"/>
        <w:right w:val="none" w:sz="0" w:space="0" w:color="auto"/>
      </w:divBdr>
    </w:div>
    <w:div w:id="1360621359">
      <w:bodyDiv w:val="1"/>
      <w:marLeft w:val="0"/>
      <w:marRight w:val="0"/>
      <w:marTop w:val="0"/>
      <w:marBottom w:val="0"/>
      <w:divBdr>
        <w:top w:val="none" w:sz="0" w:space="0" w:color="auto"/>
        <w:left w:val="none" w:sz="0" w:space="0" w:color="auto"/>
        <w:bottom w:val="none" w:sz="0" w:space="0" w:color="auto"/>
        <w:right w:val="none" w:sz="0" w:space="0" w:color="auto"/>
      </w:divBdr>
    </w:div>
    <w:div w:id="1364090511">
      <w:bodyDiv w:val="1"/>
      <w:marLeft w:val="0"/>
      <w:marRight w:val="0"/>
      <w:marTop w:val="0"/>
      <w:marBottom w:val="0"/>
      <w:divBdr>
        <w:top w:val="none" w:sz="0" w:space="0" w:color="auto"/>
        <w:left w:val="none" w:sz="0" w:space="0" w:color="auto"/>
        <w:bottom w:val="none" w:sz="0" w:space="0" w:color="auto"/>
        <w:right w:val="none" w:sz="0" w:space="0" w:color="auto"/>
      </w:divBdr>
    </w:div>
    <w:div w:id="1396660415">
      <w:bodyDiv w:val="1"/>
      <w:marLeft w:val="0"/>
      <w:marRight w:val="0"/>
      <w:marTop w:val="0"/>
      <w:marBottom w:val="0"/>
      <w:divBdr>
        <w:top w:val="none" w:sz="0" w:space="0" w:color="auto"/>
        <w:left w:val="none" w:sz="0" w:space="0" w:color="auto"/>
        <w:bottom w:val="none" w:sz="0" w:space="0" w:color="auto"/>
        <w:right w:val="none" w:sz="0" w:space="0" w:color="auto"/>
      </w:divBdr>
    </w:div>
    <w:div w:id="1418096267">
      <w:bodyDiv w:val="1"/>
      <w:marLeft w:val="0"/>
      <w:marRight w:val="0"/>
      <w:marTop w:val="0"/>
      <w:marBottom w:val="0"/>
      <w:divBdr>
        <w:top w:val="none" w:sz="0" w:space="0" w:color="auto"/>
        <w:left w:val="none" w:sz="0" w:space="0" w:color="auto"/>
        <w:bottom w:val="none" w:sz="0" w:space="0" w:color="auto"/>
        <w:right w:val="none" w:sz="0" w:space="0" w:color="auto"/>
      </w:divBdr>
    </w:div>
    <w:div w:id="1428692558">
      <w:bodyDiv w:val="1"/>
      <w:marLeft w:val="0"/>
      <w:marRight w:val="0"/>
      <w:marTop w:val="0"/>
      <w:marBottom w:val="0"/>
      <w:divBdr>
        <w:top w:val="none" w:sz="0" w:space="0" w:color="auto"/>
        <w:left w:val="none" w:sz="0" w:space="0" w:color="auto"/>
        <w:bottom w:val="none" w:sz="0" w:space="0" w:color="auto"/>
        <w:right w:val="none" w:sz="0" w:space="0" w:color="auto"/>
      </w:divBdr>
    </w:div>
    <w:div w:id="1459645925">
      <w:bodyDiv w:val="1"/>
      <w:marLeft w:val="0"/>
      <w:marRight w:val="0"/>
      <w:marTop w:val="0"/>
      <w:marBottom w:val="0"/>
      <w:divBdr>
        <w:top w:val="none" w:sz="0" w:space="0" w:color="auto"/>
        <w:left w:val="none" w:sz="0" w:space="0" w:color="auto"/>
        <w:bottom w:val="none" w:sz="0" w:space="0" w:color="auto"/>
        <w:right w:val="none" w:sz="0" w:space="0" w:color="auto"/>
      </w:divBdr>
    </w:div>
    <w:div w:id="1464076987">
      <w:bodyDiv w:val="1"/>
      <w:marLeft w:val="0"/>
      <w:marRight w:val="0"/>
      <w:marTop w:val="0"/>
      <w:marBottom w:val="0"/>
      <w:divBdr>
        <w:top w:val="none" w:sz="0" w:space="0" w:color="auto"/>
        <w:left w:val="none" w:sz="0" w:space="0" w:color="auto"/>
        <w:bottom w:val="none" w:sz="0" w:space="0" w:color="auto"/>
        <w:right w:val="none" w:sz="0" w:space="0" w:color="auto"/>
      </w:divBdr>
    </w:div>
    <w:div w:id="1486507443">
      <w:bodyDiv w:val="1"/>
      <w:marLeft w:val="0"/>
      <w:marRight w:val="0"/>
      <w:marTop w:val="0"/>
      <w:marBottom w:val="0"/>
      <w:divBdr>
        <w:top w:val="none" w:sz="0" w:space="0" w:color="auto"/>
        <w:left w:val="none" w:sz="0" w:space="0" w:color="auto"/>
        <w:bottom w:val="none" w:sz="0" w:space="0" w:color="auto"/>
        <w:right w:val="none" w:sz="0" w:space="0" w:color="auto"/>
      </w:divBdr>
    </w:div>
    <w:div w:id="1669482645">
      <w:bodyDiv w:val="1"/>
      <w:marLeft w:val="0"/>
      <w:marRight w:val="0"/>
      <w:marTop w:val="0"/>
      <w:marBottom w:val="0"/>
      <w:divBdr>
        <w:top w:val="none" w:sz="0" w:space="0" w:color="auto"/>
        <w:left w:val="none" w:sz="0" w:space="0" w:color="auto"/>
        <w:bottom w:val="none" w:sz="0" w:space="0" w:color="auto"/>
        <w:right w:val="none" w:sz="0" w:space="0" w:color="auto"/>
      </w:divBdr>
    </w:div>
    <w:div w:id="1669863488">
      <w:bodyDiv w:val="1"/>
      <w:marLeft w:val="0"/>
      <w:marRight w:val="0"/>
      <w:marTop w:val="0"/>
      <w:marBottom w:val="0"/>
      <w:divBdr>
        <w:top w:val="none" w:sz="0" w:space="0" w:color="auto"/>
        <w:left w:val="none" w:sz="0" w:space="0" w:color="auto"/>
        <w:bottom w:val="none" w:sz="0" w:space="0" w:color="auto"/>
        <w:right w:val="none" w:sz="0" w:space="0" w:color="auto"/>
      </w:divBdr>
    </w:div>
    <w:div w:id="1697079977">
      <w:bodyDiv w:val="1"/>
      <w:marLeft w:val="0"/>
      <w:marRight w:val="0"/>
      <w:marTop w:val="0"/>
      <w:marBottom w:val="0"/>
      <w:divBdr>
        <w:top w:val="none" w:sz="0" w:space="0" w:color="auto"/>
        <w:left w:val="none" w:sz="0" w:space="0" w:color="auto"/>
        <w:bottom w:val="none" w:sz="0" w:space="0" w:color="auto"/>
        <w:right w:val="none" w:sz="0" w:space="0" w:color="auto"/>
      </w:divBdr>
    </w:div>
    <w:div w:id="1710761689">
      <w:bodyDiv w:val="1"/>
      <w:marLeft w:val="0"/>
      <w:marRight w:val="0"/>
      <w:marTop w:val="0"/>
      <w:marBottom w:val="0"/>
      <w:divBdr>
        <w:top w:val="none" w:sz="0" w:space="0" w:color="auto"/>
        <w:left w:val="none" w:sz="0" w:space="0" w:color="auto"/>
        <w:bottom w:val="none" w:sz="0" w:space="0" w:color="auto"/>
        <w:right w:val="none" w:sz="0" w:space="0" w:color="auto"/>
      </w:divBdr>
    </w:div>
    <w:div w:id="1716080818">
      <w:bodyDiv w:val="1"/>
      <w:marLeft w:val="0"/>
      <w:marRight w:val="0"/>
      <w:marTop w:val="0"/>
      <w:marBottom w:val="0"/>
      <w:divBdr>
        <w:top w:val="none" w:sz="0" w:space="0" w:color="auto"/>
        <w:left w:val="none" w:sz="0" w:space="0" w:color="auto"/>
        <w:bottom w:val="none" w:sz="0" w:space="0" w:color="auto"/>
        <w:right w:val="none" w:sz="0" w:space="0" w:color="auto"/>
      </w:divBdr>
    </w:div>
    <w:div w:id="1717965306">
      <w:bodyDiv w:val="1"/>
      <w:marLeft w:val="0"/>
      <w:marRight w:val="0"/>
      <w:marTop w:val="0"/>
      <w:marBottom w:val="0"/>
      <w:divBdr>
        <w:top w:val="none" w:sz="0" w:space="0" w:color="auto"/>
        <w:left w:val="none" w:sz="0" w:space="0" w:color="auto"/>
        <w:bottom w:val="none" w:sz="0" w:space="0" w:color="auto"/>
        <w:right w:val="none" w:sz="0" w:space="0" w:color="auto"/>
      </w:divBdr>
    </w:div>
    <w:div w:id="1732146977">
      <w:bodyDiv w:val="1"/>
      <w:marLeft w:val="0"/>
      <w:marRight w:val="0"/>
      <w:marTop w:val="0"/>
      <w:marBottom w:val="0"/>
      <w:divBdr>
        <w:top w:val="none" w:sz="0" w:space="0" w:color="auto"/>
        <w:left w:val="none" w:sz="0" w:space="0" w:color="auto"/>
        <w:bottom w:val="none" w:sz="0" w:space="0" w:color="auto"/>
        <w:right w:val="none" w:sz="0" w:space="0" w:color="auto"/>
      </w:divBdr>
    </w:div>
    <w:div w:id="1741827221">
      <w:bodyDiv w:val="1"/>
      <w:marLeft w:val="0"/>
      <w:marRight w:val="0"/>
      <w:marTop w:val="0"/>
      <w:marBottom w:val="0"/>
      <w:divBdr>
        <w:top w:val="none" w:sz="0" w:space="0" w:color="auto"/>
        <w:left w:val="none" w:sz="0" w:space="0" w:color="auto"/>
        <w:bottom w:val="none" w:sz="0" w:space="0" w:color="auto"/>
        <w:right w:val="none" w:sz="0" w:space="0" w:color="auto"/>
      </w:divBdr>
    </w:div>
    <w:div w:id="1805538465">
      <w:bodyDiv w:val="1"/>
      <w:marLeft w:val="0"/>
      <w:marRight w:val="0"/>
      <w:marTop w:val="0"/>
      <w:marBottom w:val="0"/>
      <w:divBdr>
        <w:top w:val="none" w:sz="0" w:space="0" w:color="auto"/>
        <w:left w:val="none" w:sz="0" w:space="0" w:color="auto"/>
        <w:bottom w:val="none" w:sz="0" w:space="0" w:color="auto"/>
        <w:right w:val="none" w:sz="0" w:space="0" w:color="auto"/>
      </w:divBdr>
    </w:div>
    <w:div w:id="1825973043">
      <w:bodyDiv w:val="1"/>
      <w:marLeft w:val="0"/>
      <w:marRight w:val="0"/>
      <w:marTop w:val="0"/>
      <w:marBottom w:val="0"/>
      <w:divBdr>
        <w:top w:val="none" w:sz="0" w:space="0" w:color="auto"/>
        <w:left w:val="none" w:sz="0" w:space="0" w:color="auto"/>
        <w:bottom w:val="none" w:sz="0" w:space="0" w:color="auto"/>
        <w:right w:val="none" w:sz="0" w:space="0" w:color="auto"/>
      </w:divBdr>
    </w:div>
    <w:div w:id="1828285126">
      <w:bodyDiv w:val="1"/>
      <w:marLeft w:val="0"/>
      <w:marRight w:val="0"/>
      <w:marTop w:val="0"/>
      <w:marBottom w:val="0"/>
      <w:divBdr>
        <w:top w:val="none" w:sz="0" w:space="0" w:color="auto"/>
        <w:left w:val="none" w:sz="0" w:space="0" w:color="auto"/>
        <w:bottom w:val="none" w:sz="0" w:space="0" w:color="auto"/>
        <w:right w:val="none" w:sz="0" w:space="0" w:color="auto"/>
      </w:divBdr>
    </w:div>
    <w:div w:id="1884631957">
      <w:bodyDiv w:val="1"/>
      <w:marLeft w:val="0"/>
      <w:marRight w:val="0"/>
      <w:marTop w:val="0"/>
      <w:marBottom w:val="0"/>
      <w:divBdr>
        <w:top w:val="none" w:sz="0" w:space="0" w:color="auto"/>
        <w:left w:val="none" w:sz="0" w:space="0" w:color="auto"/>
        <w:bottom w:val="none" w:sz="0" w:space="0" w:color="auto"/>
        <w:right w:val="none" w:sz="0" w:space="0" w:color="auto"/>
      </w:divBdr>
    </w:div>
    <w:div w:id="1903060130">
      <w:bodyDiv w:val="1"/>
      <w:marLeft w:val="0"/>
      <w:marRight w:val="0"/>
      <w:marTop w:val="0"/>
      <w:marBottom w:val="0"/>
      <w:divBdr>
        <w:top w:val="none" w:sz="0" w:space="0" w:color="auto"/>
        <w:left w:val="none" w:sz="0" w:space="0" w:color="auto"/>
        <w:bottom w:val="none" w:sz="0" w:space="0" w:color="auto"/>
        <w:right w:val="none" w:sz="0" w:space="0" w:color="auto"/>
      </w:divBdr>
    </w:div>
    <w:div w:id="1948274447">
      <w:bodyDiv w:val="1"/>
      <w:marLeft w:val="0"/>
      <w:marRight w:val="0"/>
      <w:marTop w:val="0"/>
      <w:marBottom w:val="0"/>
      <w:divBdr>
        <w:top w:val="none" w:sz="0" w:space="0" w:color="auto"/>
        <w:left w:val="none" w:sz="0" w:space="0" w:color="auto"/>
        <w:bottom w:val="none" w:sz="0" w:space="0" w:color="auto"/>
        <w:right w:val="none" w:sz="0" w:space="0" w:color="auto"/>
      </w:divBdr>
    </w:div>
    <w:div w:id="1952474380">
      <w:bodyDiv w:val="1"/>
      <w:marLeft w:val="0"/>
      <w:marRight w:val="0"/>
      <w:marTop w:val="0"/>
      <w:marBottom w:val="0"/>
      <w:divBdr>
        <w:top w:val="none" w:sz="0" w:space="0" w:color="auto"/>
        <w:left w:val="none" w:sz="0" w:space="0" w:color="auto"/>
        <w:bottom w:val="none" w:sz="0" w:space="0" w:color="auto"/>
        <w:right w:val="none" w:sz="0" w:space="0" w:color="auto"/>
      </w:divBdr>
    </w:div>
    <w:div w:id="1960532434">
      <w:bodyDiv w:val="1"/>
      <w:marLeft w:val="0"/>
      <w:marRight w:val="0"/>
      <w:marTop w:val="0"/>
      <w:marBottom w:val="0"/>
      <w:divBdr>
        <w:top w:val="none" w:sz="0" w:space="0" w:color="auto"/>
        <w:left w:val="none" w:sz="0" w:space="0" w:color="auto"/>
        <w:bottom w:val="none" w:sz="0" w:space="0" w:color="auto"/>
        <w:right w:val="none" w:sz="0" w:space="0" w:color="auto"/>
      </w:divBdr>
    </w:div>
    <w:div w:id="1966887058">
      <w:bodyDiv w:val="1"/>
      <w:marLeft w:val="0"/>
      <w:marRight w:val="0"/>
      <w:marTop w:val="0"/>
      <w:marBottom w:val="0"/>
      <w:divBdr>
        <w:top w:val="none" w:sz="0" w:space="0" w:color="auto"/>
        <w:left w:val="none" w:sz="0" w:space="0" w:color="auto"/>
        <w:bottom w:val="none" w:sz="0" w:space="0" w:color="auto"/>
        <w:right w:val="none" w:sz="0" w:space="0" w:color="auto"/>
      </w:divBdr>
    </w:div>
    <w:div w:id="2134444713">
      <w:bodyDiv w:val="1"/>
      <w:marLeft w:val="0"/>
      <w:marRight w:val="0"/>
      <w:marTop w:val="0"/>
      <w:marBottom w:val="0"/>
      <w:divBdr>
        <w:top w:val="none" w:sz="0" w:space="0" w:color="auto"/>
        <w:left w:val="none" w:sz="0" w:space="0" w:color="auto"/>
        <w:bottom w:val="none" w:sz="0" w:space="0" w:color="auto"/>
        <w:right w:val="none" w:sz="0" w:space="0" w:color="auto"/>
      </w:divBdr>
    </w:div>
    <w:div w:id="213925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4.xml"/><Relationship Id="rId18"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hart" Target="charts/chart5.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despacho.contraloria@contraloriatolima.gov.co" TargetMode="External"/><Relationship Id="rId2" Type="http://schemas.openxmlformats.org/officeDocument/2006/relationships/hyperlink" Target="http://www.contraloriatolima.gov.co" TargetMode="External"/><Relationship Id="rId1" Type="http://schemas.openxmlformats.org/officeDocument/2006/relationships/hyperlink" Target="mailto:despacho.contraloria@contraloriatolima.gov.co" TargetMode="External"/><Relationship Id="rId4" Type="http://schemas.openxmlformats.org/officeDocument/2006/relationships/hyperlink" Target="http://www.contraloriatolim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_rels/chart4.xml.rels><?xml version="1.0" encoding="UTF-8" standalone="yes"?>
<Relationships xmlns="http://schemas.openxmlformats.org/package/2006/relationships"><Relationship Id="rId2" Type="http://schemas.openxmlformats.org/officeDocument/2006/relationships/package" Target="../embeddings/Hoja_de_c_lculo_de_Microsoft_Excel4.xlsx"/><Relationship Id="rId1" Type="http://schemas.openxmlformats.org/officeDocument/2006/relationships/image" Target="../media/image3.jpeg"/></Relationships>
</file>

<file path=word/charts/_rels/chart5.xml.rels><?xml version="1.0" encoding="UTF-8" standalone="yes"?>
<Relationships xmlns="http://schemas.openxmlformats.org/package/2006/relationships"><Relationship Id="rId2" Type="http://schemas.openxmlformats.org/officeDocument/2006/relationships/package" Target="../embeddings/Hoja_de_c_lculo_de_Microsoft_Excel5.xlsx"/><Relationship Id="rId1" Type="http://schemas.openxmlformats.org/officeDocument/2006/relationships/image" Target="../media/image3.jpeg"/></Relationships>
</file>

<file path=word/charts/_rels/chart6.xml.rels><?xml version="1.0" encoding="UTF-8" standalone="yes"?>
<Relationships xmlns="http://schemas.openxmlformats.org/package/2006/relationships"><Relationship Id="rId1" Type="http://schemas.openxmlformats.org/officeDocument/2006/relationships/package" Target="../embeddings/Hoja_de_c_lculo_de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Hoja_de_c_lculo_de_Microsoft_Excel7.xlsx"/></Relationships>
</file>

<file path=word/charts/_rels/chart8.xml.rels><?xml version="1.0" encoding="UTF-8" standalone="yes"?>
<Relationships xmlns="http://schemas.openxmlformats.org/package/2006/relationships"><Relationship Id="rId2" Type="http://schemas.openxmlformats.org/officeDocument/2006/relationships/package" Target="../embeddings/Hoja_de_c_lculo_de_Microsoft_Excel8.xlsx"/><Relationship Id="rId1" Type="http://schemas.openxmlformats.org/officeDocument/2006/relationships/image" Target="../media/image3.jpeg"/></Relationships>
</file>

<file path=word/charts/_rels/chart9.xml.rels><?xml version="1.0" encoding="UTF-8" standalone="yes"?>
<Relationships xmlns="http://schemas.openxmlformats.org/package/2006/relationships"><Relationship Id="rId2" Type="http://schemas.openxmlformats.org/officeDocument/2006/relationships/package" Target="../embeddings/Hoja_de_c_lculo_de_Microsoft_Excel9.xlsx"/><Relationship Id="rId1" Type="http://schemas.openxmlformats.org/officeDocument/2006/relationships/image" Target="../media/image3.jpeg"/></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view3D>
    <c:floor>
      <c:thickness val="0"/>
    </c:floor>
    <c:sideWall>
      <c:thickness val="0"/>
    </c:sideWall>
    <c:backWall>
      <c:thickness val="0"/>
    </c:backWall>
    <c:plotArea>
      <c:layout/>
      <c:bar3DChart>
        <c:barDir val="col"/>
        <c:grouping val="standard"/>
        <c:varyColors val="0"/>
        <c:ser>
          <c:idx val="0"/>
          <c:order val="0"/>
          <c:tx>
            <c:strRef>
              <c:f>Hoja1!$B$1</c:f>
              <c:strCache>
                <c:ptCount val="1"/>
                <c:pt idx="0">
                  <c:v>PPTO INICIAL</c:v>
                </c:pt>
              </c:strCache>
            </c:strRef>
          </c:tx>
          <c:invertIfNegative val="0"/>
          <c:cat>
            <c:strRef>
              <c:f>Hoja1!$A$2</c:f>
              <c:strCache>
                <c:ptCount val="1"/>
                <c:pt idx="0">
                  <c:v>PPTO.INGRESOS</c:v>
                </c:pt>
              </c:strCache>
            </c:strRef>
          </c:cat>
          <c:val>
            <c:numRef>
              <c:f>Hoja1!$B$2</c:f>
              <c:numCache>
                <c:formatCode>_(* #,##0_);_(* \(#,##0\);_(* "-"??_);_(@_)</c:formatCode>
                <c:ptCount val="1"/>
                <c:pt idx="0">
                  <c:v>5234010313</c:v>
                </c:pt>
              </c:numCache>
            </c:numRef>
          </c:val>
        </c:ser>
        <c:ser>
          <c:idx val="1"/>
          <c:order val="1"/>
          <c:tx>
            <c:strRef>
              <c:f>Hoja1!$C$1</c:f>
              <c:strCache>
                <c:ptCount val="1"/>
                <c:pt idx="0">
                  <c:v>ADICIONES</c:v>
                </c:pt>
              </c:strCache>
            </c:strRef>
          </c:tx>
          <c:invertIfNegative val="0"/>
          <c:cat>
            <c:strRef>
              <c:f>Hoja1!$A$2</c:f>
              <c:strCache>
                <c:ptCount val="1"/>
                <c:pt idx="0">
                  <c:v>PPTO.INGRESOS</c:v>
                </c:pt>
              </c:strCache>
            </c:strRef>
          </c:cat>
          <c:val>
            <c:numRef>
              <c:f>Hoja1!$C$2</c:f>
              <c:numCache>
                <c:formatCode>_(* #,##0_);_(* \(#,##0\);_(* "-"??_);_(@_)</c:formatCode>
                <c:ptCount val="1"/>
                <c:pt idx="0">
                  <c:v>4205494211</c:v>
                </c:pt>
              </c:numCache>
            </c:numRef>
          </c:val>
        </c:ser>
        <c:ser>
          <c:idx val="2"/>
          <c:order val="2"/>
          <c:tx>
            <c:strRef>
              <c:f>Hoja1!$D$1</c:f>
              <c:strCache>
                <c:ptCount val="1"/>
                <c:pt idx="0">
                  <c:v>REDUCCIONES</c:v>
                </c:pt>
              </c:strCache>
            </c:strRef>
          </c:tx>
          <c:invertIfNegative val="0"/>
          <c:cat>
            <c:strRef>
              <c:f>Hoja1!$A$2</c:f>
              <c:strCache>
                <c:ptCount val="1"/>
                <c:pt idx="0">
                  <c:v>PPTO.INGRESOS</c:v>
                </c:pt>
              </c:strCache>
            </c:strRef>
          </c:cat>
          <c:val>
            <c:numRef>
              <c:f>Hoja1!$D$2</c:f>
              <c:numCache>
                <c:formatCode>_(* #,##0_);_(* \(#,##0\);_(* "-"??_);_(@_)</c:formatCode>
                <c:ptCount val="1"/>
                <c:pt idx="0">
                  <c:v>39709877</c:v>
                </c:pt>
              </c:numCache>
            </c:numRef>
          </c:val>
        </c:ser>
        <c:ser>
          <c:idx val="3"/>
          <c:order val="3"/>
          <c:tx>
            <c:strRef>
              <c:f>Hoja1!$E$1</c:f>
              <c:strCache>
                <c:ptCount val="1"/>
                <c:pt idx="0">
                  <c:v>PPTO DEFINITIVO</c:v>
                </c:pt>
              </c:strCache>
            </c:strRef>
          </c:tx>
          <c:invertIfNegative val="0"/>
          <c:cat>
            <c:strRef>
              <c:f>Hoja1!$A$2</c:f>
              <c:strCache>
                <c:ptCount val="1"/>
                <c:pt idx="0">
                  <c:v>PPTO.INGRESOS</c:v>
                </c:pt>
              </c:strCache>
            </c:strRef>
          </c:cat>
          <c:val>
            <c:numRef>
              <c:f>Hoja1!$E$2</c:f>
              <c:numCache>
                <c:formatCode>#,##0</c:formatCode>
                <c:ptCount val="1"/>
                <c:pt idx="0">
                  <c:v>9399794647</c:v>
                </c:pt>
              </c:numCache>
            </c:numRef>
          </c:val>
        </c:ser>
        <c:dLbls>
          <c:showLegendKey val="0"/>
          <c:showVal val="0"/>
          <c:showCatName val="0"/>
          <c:showSerName val="0"/>
          <c:showPercent val="0"/>
          <c:showBubbleSize val="0"/>
        </c:dLbls>
        <c:gapWidth val="150"/>
        <c:shape val="pyramid"/>
        <c:axId val="1240827488"/>
        <c:axId val="1240828576"/>
        <c:axId val="1239878480"/>
      </c:bar3DChart>
      <c:catAx>
        <c:axId val="1240827488"/>
        <c:scaling>
          <c:orientation val="minMax"/>
        </c:scaling>
        <c:delete val="0"/>
        <c:axPos val="b"/>
        <c:numFmt formatCode="General" sourceLinked="0"/>
        <c:majorTickMark val="out"/>
        <c:minorTickMark val="none"/>
        <c:tickLblPos val="nextTo"/>
        <c:crossAx val="1240828576"/>
        <c:crosses val="autoZero"/>
        <c:auto val="1"/>
        <c:lblAlgn val="ctr"/>
        <c:lblOffset val="100"/>
        <c:noMultiLvlLbl val="0"/>
      </c:catAx>
      <c:valAx>
        <c:axId val="1240828576"/>
        <c:scaling>
          <c:orientation val="minMax"/>
        </c:scaling>
        <c:delete val="0"/>
        <c:axPos val="l"/>
        <c:majorGridlines/>
        <c:numFmt formatCode="_(* #,##0_);_(* \(#,##0\);_(* &quot;-&quot;??_);_(@_)" sourceLinked="1"/>
        <c:majorTickMark val="out"/>
        <c:minorTickMark val="none"/>
        <c:tickLblPos val="nextTo"/>
        <c:crossAx val="1240827488"/>
        <c:crosses val="autoZero"/>
        <c:crossBetween val="between"/>
      </c:valAx>
      <c:serAx>
        <c:axId val="1239878480"/>
        <c:scaling>
          <c:orientation val="minMax"/>
        </c:scaling>
        <c:delete val="0"/>
        <c:axPos val="b"/>
        <c:majorTickMark val="out"/>
        <c:minorTickMark val="none"/>
        <c:tickLblPos val="nextTo"/>
        <c:crossAx val="1240828576"/>
        <c:crosses val="autoZero"/>
      </c:serAx>
    </c:plotArea>
    <c:legend>
      <c:legendPos val="r"/>
      <c:layout/>
      <c:overlay val="0"/>
    </c:legend>
    <c:plotVisOnly val="1"/>
    <c:dispBlanksAs val="gap"/>
    <c:showDLblsOverMax val="0"/>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pieChart>
        <c:varyColors val="1"/>
        <c:ser>
          <c:idx val="0"/>
          <c:order val="0"/>
          <c:tx>
            <c:strRef>
              <c:f>Hoja1!$B$1</c:f>
              <c:strCache>
                <c:ptCount val="1"/>
                <c:pt idx="0">
                  <c:v>PRESUPUESTO INICIAL</c:v>
                </c:pt>
              </c:strCache>
            </c:strRef>
          </c:tx>
          <c:dLbls>
            <c:dLbl>
              <c:idx val="0"/>
              <c:layout>
                <c:manualLayout>
                  <c:x val="-7.32483960338291E-2"/>
                  <c:y val="0.12189382577177853"/>
                </c:manualLayout>
              </c:layout>
              <c:tx>
                <c:rich>
                  <a:bodyPr/>
                  <a:lstStyle/>
                  <a:p>
                    <a:r>
                      <a:rPr lang="en-US"/>
                      <a:t>Ing. Tributarios  
4%</a:t>
                    </a:r>
                  </a:p>
                </c:rich>
              </c:tx>
              <c:showLegendKey val="0"/>
              <c:showVal val="0"/>
              <c:showCatName val="1"/>
              <c:showSerName val="0"/>
              <c:showPercent val="1"/>
              <c:showBubbleSize val="0"/>
              <c:extLst>
                <c:ext xmlns:c15="http://schemas.microsoft.com/office/drawing/2012/chart" uri="{CE6537A1-D6FC-4f65-9D91-7224C49458BB}">
                  <c15:layout/>
                </c:ext>
              </c:extLst>
            </c:dLbl>
            <c:dLbl>
              <c:idx val="1"/>
              <c:layout/>
              <c:tx>
                <c:rich>
                  <a:bodyPr/>
                  <a:lstStyle/>
                  <a:p>
                    <a:r>
                      <a:rPr lang="en-US"/>
                      <a:t>Ing. No Tributarios </a:t>
                    </a:r>
                  </a:p>
                  <a:p>
                    <a:r>
                      <a:rPr lang="en-US"/>
                      <a:t>53%</a:t>
                    </a:r>
                  </a:p>
                </c:rich>
              </c:tx>
              <c:showLegendKey val="0"/>
              <c:showVal val="1"/>
              <c:showCatName val="1"/>
              <c:showSerName val="0"/>
              <c:showPercent val="1"/>
              <c:showBubbleSize val="0"/>
              <c:extLst>
                <c:ext xmlns:c15="http://schemas.microsoft.com/office/drawing/2012/chart" uri="{CE6537A1-D6FC-4f65-9D91-7224C49458BB}">
                  <c15:layout/>
                </c:ext>
              </c:extLst>
            </c:dLbl>
            <c:dLbl>
              <c:idx val="2"/>
              <c:layout>
                <c:manualLayout>
                  <c:x val="3.1429170312044327E-2"/>
                  <c:y val="1.1782277215348082E-2"/>
                </c:manualLayout>
              </c:layout>
              <c:tx>
                <c:rich>
                  <a:bodyPr/>
                  <a:lstStyle/>
                  <a:p>
                    <a:r>
                      <a:rPr lang="en-US"/>
                      <a:t>Fondos Especiales 
43%</a:t>
                    </a:r>
                  </a:p>
                </c:rich>
              </c:tx>
              <c:showLegendKey val="0"/>
              <c:showVal val="0"/>
              <c:showCatName val="1"/>
              <c:showSerName val="0"/>
              <c:showPercent val="1"/>
              <c:showBubbleSize val="0"/>
              <c:extLst>
                <c:ext xmlns:c15="http://schemas.microsoft.com/office/drawing/2012/chart" uri="{CE6537A1-D6FC-4f65-9D91-7224C49458BB}">
                  <c15:layout/>
                </c:ext>
              </c:extLst>
            </c:dLbl>
            <c:spPr>
              <a:noFill/>
              <a:ln>
                <a:noFill/>
              </a:ln>
              <a:effectLst/>
            </c:spPr>
            <c:showLegendKey val="0"/>
            <c:showVal val="0"/>
            <c:showCatName val="1"/>
            <c:showSerName val="0"/>
            <c:showPercent val="1"/>
            <c:showBubbleSize val="0"/>
            <c:showLeaderLines val="0"/>
            <c:extLst>
              <c:ext xmlns:c15="http://schemas.microsoft.com/office/drawing/2012/chart" uri="{CE6537A1-D6FC-4f65-9D91-7224C49458BB}"/>
            </c:extLst>
          </c:dLbls>
          <c:cat>
            <c:strRef>
              <c:f>Hoja1!$A$2:$A$4</c:f>
              <c:strCache>
                <c:ptCount val="3"/>
                <c:pt idx="0">
                  <c:v>Ing. Tributarios $ 695.000.000</c:v>
                </c:pt>
                <c:pt idx="1">
                  <c:v>Ing. No Tributarios $4.374.000.000</c:v>
                </c:pt>
                <c:pt idx="2">
                  <c:v>Recursos de Capital  $164.000.000</c:v>
                </c:pt>
              </c:strCache>
            </c:strRef>
          </c:cat>
          <c:val>
            <c:numRef>
              <c:f>Hoja1!$B$2:$B$4</c:f>
              <c:numCache>
                <c:formatCode>General</c:formatCode>
                <c:ptCount val="3"/>
                <c:pt idx="0">
                  <c:v>695000000</c:v>
                </c:pt>
                <c:pt idx="1">
                  <c:v>4374000000</c:v>
                </c:pt>
                <c:pt idx="2">
                  <c:v>164000000</c:v>
                </c:pt>
              </c:numCache>
            </c:numRef>
          </c:val>
        </c:ser>
        <c:dLbls>
          <c:showLegendKey val="0"/>
          <c:showVal val="0"/>
          <c:showCatName val="0"/>
          <c:showSerName val="0"/>
          <c:showPercent val="1"/>
          <c:showBubbleSize val="0"/>
          <c:showLeaderLines val="0"/>
        </c:dLbls>
        <c:firstSliceAng val="0"/>
      </c:pieChart>
    </c:plotArea>
    <c:legend>
      <c:legendPos val="r"/>
      <c:layout/>
      <c:overlay val="0"/>
    </c:legend>
    <c:plotVisOnly val="1"/>
    <c:dispBlanksAs val="gap"/>
    <c:showDLblsOverMax val="0"/>
  </c:chart>
  <c:spPr>
    <a:gradFill>
      <a:gsLst>
        <a:gs pos="0">
          <a:srgbClr val="E6DCAC"/>
        </a:gs>
        <a:gs pos="12000">
          <a:srgbClr val="E6D78A"/>
        </a:gs>
        <a:gs pos="30000">
          <a:srgbClr val="C7AC4C"/>
        </a:gs>
        <a:gs pos="45000">
          <a:srgbClr val="E6D78A"/>
        </a:gs>
        <a:gs pos="77000">
          <a:srgbClr val="C7AC4C"/>
        </a:gs>
        <a:gs pos="100000">
          <a:srgbClr val="E6DCAC"/>
        </a:gs>
      </a:gsLst>
      <a:lin ang="5400000" scaled="0"/>
    </a:gradFill>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9"/>
    </mc:Choice>
    <mc:Fallback>
      <c:style val="39"/>
    </mc:Fallback>
  </mc:AlternateContent>
  <c:chart>
    <c:title>
      <c:tx>
        <c:rich>
          <a:bodyPr/>
          <a:lstStyle/>
          <a:p>
            <a:pPr>
              <a:defRPr/>
            </a:pPr>
            <a:r>
              <a:rPr lang="en-US"/>
              <a:t>FUENTES DE FINANCIACION PRESUPUESTO</a:t>
            </a:r>
          </a:p>
        </c:rich>
      </c:tx>
      <c:layout/>
      <c:overlay val="0"/>
    </c:title>
    <c:autoTitleDeleted val="0"/>
    <c:plotArea>
      <c:layout/>
      <c:barChart>
        <c:barDir val="col"/>
        <c:grouping val="clustered"/>
        <c:varyColors val="0"/>
        <c:ser>
          <c:idx val="0"/>
          <c:order val="0"/>
          <c:tx>
            <c:strRef>
              <c:f>Hoja1!$B$1</c:f>
              <c:strCache>
                <c:ptCount val="1"/>
                <c:pt idx="0">
                  <c:v>Serie 1</c:v>
                </c:pt>
              </c:strCache>
            </c:strRef>
          </c:tx>
          <c:invertIfNegative val="0"/>
          <c:cat>
            <c:strRef>
              <c:f>Hoja1!$A$2:$A$3</c:f>
              <c:strCache>
                <c:ptCount val="2"/>
                <c:pt idx="0">
                  <c:v>Ingresos Tributarios</c:v>
                </c:pt>
                <c:pt idx="1">
                  <c:v>Ingresos No Tributarios</c:v>
                </c:pt>
              </c:strCache>
            </c:strRef>
          </c:cat>
          <c:val>
            <c:numRef>
              <c:f>Hoja1!$B$2:$B$3</c:f>
              <c:numCache>
                <c:formatCode>General</c:formatCode>
                <c:ptCount val="2"/>
                <c:pt idx="0">
                  <c:v>9.23</c:v>
                </c:pt>
                <c:pt idx="1">
                  <c:v>81.2</c:v>
                </c:pt>
              </c:numCache>
            </c:numRef>
          </c:val>
        </c:ser>
        <c:dLbls>
          <c:showLegendKey val="0"/>
          <c:showVal val="0"/>
          <c:showCatName val="0"/>
          <c:showSerName val="0"/>
          <c:showPercent val="0"/>
          <c:showBubbleSize val="0"/>
        </c:dLbls>
        <c:gapWidth val="150"/>
        <c:axId val="1240825856"/>
        <c:axId val="1240826400"/>
      </c:barChart>
      <c:catAx>
        <c:axId val="1240825856"/>
        <c:scaling>
          <c:orientation val="minMax"/>
        </c:scaling>
        <c:delete val="0"/>
        <c:axPos val="b"/>
        <c:numFmt formatCode="General" sourceLinked="0"/>
        <c:majorTickMark val="none"/>
        <c:minorTickMark val="none"/>
        <c:tickLblPos val="nextTo"/>
        <c:crossAx val="1240826400"/>
        <c:crosses val="autoZero"/>
        <c:auto val="1"/>
        <c:lblAlgn val="ctr"/>
        <c:lblOffset val="100"/>
        <c:noMultiLvlLbl val="0"/>
      </c:catAx>
      <c:valAx>
        <c:axId val="1240826400"/>
        <c:scaling>
          <c:orientation val="minMax"/>
        </c:scaling>
        <c:delete val="0"/>
        <c:axPos val="l"/>
        <c:majorGridlines/>
        <c:numFmt formatCode="General" sourceLinked="1"/>
        <c:majorTickMark val="none"/>
        <c:minorTickMark val="none"/>
        <c:tickLblPos val="nextTo"/>
        <c:crossAx val="1240825856"/>
        <c:crosses val="autoZero"/>
        <c:crossBetween val="between"/>
      </c:valAx>
      <c:spPr>
        <a:noFill/>
        <a:ln w="25400">
          <a:noFill/>
        </a:ln>
      </c:spPr>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INGRESOS NO TRIBUTARIOS</a:t>
            </a:r>
          </a:p>
        </c:rich>
      </c:tx>
      <c:layout/>
      <c:overlay val="0"/>
    </c:title>
    <c:autoTitleDeleted val="0"/>
    <c:plotArea>
      <c:layout/>
      <c:pieChart>
        <c:varyColors val="1"/>
        <c:ser>
          <c:idx val="0"/>
          <c:order val="0"/>
          <c:tx>
            <c:strRef>
              <c:f>Hoja1!$B$1</c:f>
              <c:strCache>
                <c:ptCount val="1"/>
                <c:pt idx="0">
                  <c:v>Ventas</c:v>
                </c:pt>
              </c:strCache>
            </c:strRef>
          </c:tx>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15:layout/>
              </c:ext>
            </c:extLst>
          </c:dLbls>
          <c:cat>
            <c:strRef>
              <c:f>Hoja1!$A$2:$A$3</c:f>
              <c:strCache>
                <c:ptCount val="2"/>
                <c:pt idx="0">
                  <c:v>S.G.P</c:v>
                </c:pt>
                <c:pt idx="1">
                  <c:v>Recursos Financiación</c:v>
                </c:pt>
              </c:strCache>
            </c:strRef>
          </c:cat>
          <c:val>
            <c:numRef>
              <c:f>Hoja1!$B$2:$B$3</c:f>
              <c:numCache>
                <c:formatCode>_(* #,##0_);_(* \(#,##0\);_(* "-"??_);_(@_)</c:formatCode>
                <c:ptCount val="2"/>
                <c:pt idx="0">
                  <c:v>3105646176</c:v>
                </c:pt>
                <c:pt idx="1">
                  <c:v>2309872288</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9"/>
    </mc:Choice>
    <mc:Fallback>
      <c:style val="39"/>
    </mc:Fallback>
  </mc:AlternateContent>
  <c:chart>
    <c:autoTitleDeleted val="1"/>
    <c:plotArea>
      <c:layout/>
      <c:barChart>
        <c:barDir val="col"/>
        <c:grouping val="clustered"/>
        <c:varyColors val="0"/>
        <c:ser>
          <c:idx val="0"/>
          <c:order val="0"/>
          <c:tx>
            <c:strRef>
              <c:f>Hoja1!$B$1</c:f>
              <c:strCache>
                <c:ptCount val="1"/>
                <c:pt idx="0">
                  <c:v>Serie 1</c:v>
                </c:pt>
              </c:strCache>
            </c:strRef>
          </c:tx>
          <c:invertIfNegative val="0"/>
          <c:cat>
            <c:strRef>
              <c:f>Hoja1!$A$2:$A$5</c:f>
              <c:strCache>
                <c:ptCount val="4"/>
                <c:pt idx="0">
                  <c:v>Ppto Inicial</c:v>
                </c:pt>
                <c:pt idx="1">
                  <c:v>Ppto Definitivo</c:v>
                </c:pt>
                <c:pt idx="2">
                  <c:v>Total Recaudado</c:v>
                </c:pt>
                <c:pt idx="3">
                  <c:v>Por Recaudar</c:v>
                </c:pt>
              </c:strCache>
            </c:strRef>
          </c:cat>
          <c:val>
            <c:numRef>
              <c:f>Hoja1!$B$2:$B$5</c:f>
              <c:numCache>
                <c:formatCode>General</c:formatCode>
                <c:ptCount val="4"/>
                <c:pt idx="0">
                  <c:v>5234</c:v>
                </c:pt>
                <c:pt idx="1">
                  <c:v>9399</c:v>
                </c:pt>
                <c:pt idx="2">
                  <c:v>8081</c:v>
                </c:pt>
                <c:pt idx="3">
                  <c:v>1318</c:v>
                </c:pt>
              </c:numCache>
            </c:numRef>
          </c:val>
        </c:ser>
        <c:dLbls>
          <c:showLegendKey val="0"/>
          <c:showVal val="0"/>
          <c:showCatName val="0"/>
          <c:showSerName val="0"/>
          <c:showPercent val="0"/>
          <c:showBubbleSize val="0"/>
        </c:dLbls>
        <c:gapWidth val="75"/>
        <c:axId val="1240816608"/>
        <c:axId val="1240828032"/>
      </c:barChart>
      <c:catAx>
        <c:axId val="1240816608"/>
        <c:scaling>
          <c:orientation val="minMax"/>
        </c:scaling>
        <c:delete val="0"/>
        <c:axPos val="b"/>
        <c:numFmt formatCode="General" sourceLinked="0"/>
        <c:majorTickMark val="none"/>
        <c:minorTickMark val="none"/>
        <c:tickLblPos val="nextTo"/>
        <c:crossAx val="1240828032"/>
        <c:crosses val="autoZero"/>
        <c:auto val="1"/>
        <c:lblAlgn val="ctr"/>
        <c:lblOffset val="100"/>
        <c:noMultiLvlLbl val="0"/>
      </c:catAx>
      <c:valAx>
        <c:axId val="1240828032"/>
        <c:scaling>
          <c:orientation val="minMax"/>
        </c:scaling>
        <c:delete val="0"/>
        <c:axPos val="l"/>
        <c:majorGridlines/>
        <c:numFmt formatCode="General" sourceLinked="1"/>
        <c:majorTickMark val="none"/>
        <c:minorTickMark val="none"/>
        <c:tickLblPos val="nextTo"/>
        <c:crossAx val="1240816608"/>
        <c:crosses val="autoZero"/>
        <c:crossBetween val="between"/>
      </c:valAx>
      <c:spPr>
        <a:blipFill>
          <a:blip xmlns:r="http://schemas.openxmlformats.org/officeDocument/2006/relationships" r:embed="rId1"/>
          <a:tile tx="0" ty="0" sx="100000" sy="100000" flip="none" algn="tl"/>
        </a:blipFill>
      </c:spPr>
    </c:plotArea>
    <c:plotVisOnly val="1"/>
    <c:dispBlanksAs val="zero"/>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42"/>
    </mc:Choice>
    <mc:Fallback>
      <c:style val="42"/>
    </mc:Fallback>
  </mc:AlternateContent>
  <c:chart>
    <c:title>
      <c:tx>
        <c:rich>
          <a:bodyPr/>
          <a:lstStyle/>
          <a:p>
            <a:pPr>
              <a:defRPr/>
            </a:pPr>
            <a:r>
              <a:rPr lang="en-US">
                <a:solidFill>
                  <a:srgbClr val="FF0000"/>
                </a:solidFill>
              </a:rPr>
              <a:t>PRESUPUESTO INICIAL</a:t>
            </a:r>
          </a:p>
        </c:rich>
      </c:tx>
      <c:layout/>
      <c:overlay val="0"/>
    </c:title>
    <c:autoTitleDeleted val="0"/>
    <c:plotArea>
      <c:layout/>
      <c:pieChart>
        <c:varyColors val="1"/>
        <c:ser>
          <c:idx val="0"/>
          <c:order val="0"/>
          <c:tx>
            <c:strRef>
              <c:f>Hoja1!$B$1</c:f>
              <c:strCache>
                <c:ptCount val="1"/>
                <c:pt idx="0">
                  <c:v>PRESUPUESTO INICIAL</c:v>
                </c:pt>
              </c:strCache>
            </c:strRef>
          </c:tx>
          <c:explosion val="15"/>
          <c:dLbls>
            <c:dLbl>
              <c:idx val="0"/>
              <c:layout/>
              <c:tx>
                <c:rich>
                  <a:bodyPr/>
                  <a:lstStyle/>
                  <a:p>
                    <a:r>
                      <a:rPr lang="en-US"/>
                      <a:t>26.03%</a:t>
                    </a:r>
                  </a:p>
                </c:rich>
              </c:tx>
              <c:showLegendKey val="0"/>
              <c:showVal val="0"/>
              <c:showCatName val="0"/>
              <c:showSerName val="0"/>
              <c:showPercent val="1"/>
              <c:showBubbleSize val="0"/>
              <c:extLst>
                <c:ext xmlns:c15="http://schemas.microsoft.com/office/drawing/2012/chart" uri="{CE6537A1-D6FC-4f65-9D91-7224C49458BB}">
                  <c15:layout/>
                </c:ext>
              </c:extLst>
            </c:dLbl>
            <c:dLbl>
              <c:idx val="1"/>
              <c:delete val="1"/>
              <c:extLst>
                <c:ext xmlns:c15="http://schemas.microsoft.com/office/drawing/2012/chart" uri="{CE6537A1-D6FC-4f65-9D91-7224C49458BB}"/>
              </c:extLst>
            </c:dLbl>
            <c:dLbl>
              <c:idx val="2"/>
              <c:layout/>
              <c:tx>
                <c:rich>
                  <a:bodyPr/>
                  <a:lstStyle/>
                  <a:p>
                    <a:r>
                      <a:rPr lang="en-US"/>
                      <a:t>72.41%</a:t>
                    </a:r>
                  </a:p>
                </c:rich>
              </c:tx>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Hoja1!$A$2:$A$4</c:f>
              <c:strCache>
                <c:ptCount val="3"/>
                <c:pt idx="0">
                  <c:v>Funcionamiento  26.03%</c:v>
                </c:pt>
                <c:pt idx="1">
                  <c:v>Deuda Pública  1.56%</c:v>
                </c:pt>
                <c:pt idx="2">
                  <c:v>Inversión    72.41%</c:v>
                </c:pt>
              </c:strCache>
            </c:strRef>
          </c:cat>
          <c:val>
            <c:numRef>
              <c:f>Hoja1!$B$2:$B$4</c:f>
              <c:numCache>
                <c:formatCode>General</c:formatCode>
                <c:ptCount val="3"/>
                <c:pt idx="0">
                  <c:v>1362</c:v>
                </c:pt>
                <c:pt idx="1">
                  <c:v>81</c:v>
                </c:pt>
                <c:pt idx="2">
                  <c:v>3789</c:v>
                </c:pt>
              </c:numCache>
            </c:numRef>
          </c:val>
        </c:ser>
        <c:dLbls>
          <c:showLegendKey val="0"/>
          <c:showVal val="0"/>
          <c:showCatName val="0"/>
          <c:showSerName val="0"/>
          <c:showPercent val="1"/>
          <c:showBubbleSize val="0"/>
          <c:showLeaderLines val="1"/>
        </c:dLbls>
        <c:firstSliceAng val="0"/>
      </c:pieChart>
    </c:plotArea>
    <c:legend>
      <c:legendPos val="r"/>
      <c:legendEntry>
        <c:idx val="0"/>
        <c:txPr>
          <a:bodyPr/>
          <a:lstStyle/>
          <a:p>
            <a:pPr>
              <a:defRPr>
                <a:solidFill>
                  <a:srgbClr val="FF0000"/>
                </a:solidFill>
              </a:defRPr>
            </a:pPr>
            <a:endParaRPr lang="es-CO"/>
          </a:p>
        </c:txPr>
      </c:legendEntry>
      <c:legendEntry>
        <c:idx val="1"/>
        <c:txPr>
          <a:bodyPr/>
          <a:lstStyle/>
          <a:p>
            <a:pPr>
              <a:defRPr>
                <a:solidFill>
                  <a:srgbClr val="FF0000"/>
                </a:solidFill>
              </a:defRPr>
            </a:pPr>
            <a:endParaRPr lang="es-CO"/>
          </a:p>
        </c:txPr>
      </c:legendEntry>
      <c:legendEntry>
        <c:idx val="2"/>
        <c:txPr>
          <a:bodyPr/>
          <a:lstStyle/>
          <a:p>
            <a:pPr>
              <a:defRPr>
                <a:solidFill>
                  <a:srgbClr val="FF0000"/>
                </a:solidFill>
              </a:defRPr>
            </a:pPr>
            <a:endParaRPr lang="es-CO"/>
          </a:p>
        </c:txPr>
      </c:legendEntry>
      <c:layout/>
      <c:overlay val="0"/>
    </c:legend>
    <c:plotVisOnly val="1"/>
    <c:dispBlanksAs val="gap"/>
    <c:showDLblsOverMax val="0"/>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GASTOS DE FUNCIONAMIENTO</a:t>
            </a:r>
          </a:p>
        </c:rich>
      </c:tx>
      <c:layout/>
      <c:overlay val="0"/>
    </c:title>
    <c:autoTitleDeleted val="0"/>
    <c:plotArea>
      <c:layout/>
      <c:pieChart>
        <c:varyColors val="1"/>
        <c:ser>
          <c:idx val="0"/>
          <c:order val="0"/>
          <c:tx>
            <c:strRef>
              <c:f>Hoja1!$B$1</c:f>
              <c:strCache>
                <c:ptCount val="1"/>
                <c:pt idx="0">
                  <c:v>Columna1</c:v>
                </c:pt>
              </c:strCache>
            </c:strRef>
          </c:tx>
          <c:dLbls>
            <c:dLbl>
              <c:idx val="0"/>
              <c:layout/>
              <c:tx>
                <c:rich>
                  <a:bodyPr/>
                  <a:lstStyle/>
                  <a:p>
                    <a:r>
                      <a:rPr lang="en-US"/>
                      <a:t>44.16%</a:t>
                    </a:r>
                  </a:p>
                </c:rich>
              </c:tx>
              <c:showLegendKey val="0"/>
              <c:showVal val="0"/>
              <c:showCatName val="0"/>
              <c:showSerName val="0"/>
              <c:showPercent val="1"/>
              <c:showBubbleSize val="0"/>
              <c:extLst>
                <c:ext xmlns:c15="http://schemas.microsoft.com/office/drawing/2012/chart" uri="{CE6537A1-D6FC-4f65-9D91-7224C49458BB}">
                  <c15:layout/>
                </c:ext>
              </c:extLst>
            </c:dLbl>
            <c:dLbl>
              <c:idx val="1"/>
              <c:layout/>
              <c:tx>
                <c:rich>
                  <a:bodyPr/>
                  <a:lstStyle/>
                  <a:p>
                    <a:r>
                      <a:rPr lang="en-US"/>
                      <a:t>14.33%</a:t>
                    </a:r>
                  </a:p>
                </c:rich>
              </c:tx>
              <c:showLegendKey val="0"/>
              <c:showVal val="0"/>
              <c:showCatName val="0"/>
              <c:showSerName val="0"/>
              <c:showPercent val="1"/>
              <c:showBubbleSize val="0"/>
              <c:extLst>
                <c:ext xmlns:c15="http://schemas.microsoft.com/office/drawing/2012/chart" uri="{CE6537A1-D6FC-4f65-9D91-7224C49458BB}">
                  <c15:layout/>
                </c:ext>
              </c:extLst>
            </c:dLbl>
            <c:dLbl>
              <c:idx val="2"/>
              <c:layout/>
              <c:tx>
                <c:rich>
                  <a:bodyPr/>
                  <a:lstStyle/>
                  <a:p>
                    <a:r>
                      <a:rPr lang="en-US"/>
                      <a:t>35.84%</a:t>
                    </a:r>
                  </a:p>
                </c:rich>
              </c:tx>
              <c:showLegendKey val="0"/>
              <c:showVal val="0"/>
              <c:showCatName val="0"/>
              <c:showSerName val="0"/>
              <c:showPercent val="1"/>
              <c:showBubbleSize val="0"/>
              <c:extLst>
                <c:ext xmlns:c15="http://schemas.microsoft.com/office/drawing/2012/chart" uri="{CE6537A1-D6FC-4f65-9D91-7224C49458BB}">
                  <c15:layout/>
                </c:ext>
              </c:extLst>
            </c:dLbl>
            <c:dLbl>
              <c:idx val="3"/>
              <c:layout/>
              <c:tx>
                <c:rich>
                  <a:bodyPr/>
                  <a:lstStyle/>
                  <a:p>
                    <a:r>
                      <a:rPr lang="en-US"/>
                      <a:t>5.6%</a:t>
                    </a:r>
                  </a:p>
                </c:rich>
              </c:tx>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Hoja1!$A$2:$A$5</c:f>
              <c:strCache>
                <c:ptCount val="4"/>
                <c:pt idx="0">
                  <c:v>Servicios Personales  44.16%</c:v>
                </c:pt>
                <c:pt idx="1">
                  <c:v>Gastos Generales  14.33%</c:v>
                </c:pt>
                <c:pt idx="2">
                  <c:v>Transferencias   35.84%</c:v>
                </c:pt>
                <c:pt idx="3">
                  <c:v>Deficit presupuestal    5.67%</c:v>
                </c:pt>
              </c:strCache>
            </c:strRef>
          </c:cat>
          <c:val>
            <c:numRef>
              <c:f>Hoja1!$B$2:$B$5</c:f>
              <c:numCache>
                <c:formatCode>General</c:formatCode>
                <c:ptCount val="4"/>
                <c:pt idx="0">
                  <c:v>601</c:v>
                </c:pt>
                <c:pt idx="1">
                  <c:v>195</c:v>
                </c:pt>
                <c:pt idx="2">
                  <c:v>488</c:v>
                </c:pt>
                <c:pt idx="3">
                  <c:v>77</c:v>
                </c:pt>
              </c:numCache>
            </c:numRef>
          </c:val>
        </c:ser>
        <c:dLbls>
          <c:showLegendKey val="0"/>
          <c:showVal val="0"/>
          <c:showCatName val="0"/>
          <c:showSerName val="0"/>
          <c:showPercent val="1"/>
          <c:showBubbleSize val="0"/>
          <c:showLeaderLines val="1"/>
        </c:dLbls>
        <c:firstSliceAng val="0"/>
      </c:pieChart>
    </c:plotArea>
    <c:legend>
      <c:legendPos val="r"/>
      <c:layout/>
      <c:overlay val="0"/>
    </c:legend>
    <c:plotVisOnly val="1"/>
    <c:dispBlanksAs val="gap"/>
    <c:showDLblsOverMax val="0"/>
  </c:chart>
  <c:spPr>
    <a:pattFill prst="pct5">
      <a:fgClr>
        <a:schemeClr val="accent1"/>
      </a:fgClr>
      <a:bgClr>
        <a:schemeClr val="bg1"/>
      </a:bgClr>
    </a:pattFill>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pieChart>
        <c:varyColors val="1"/>
        <c:ser>
          <c:idx val="0"/>
          <c:order val="0"/>
          <c:tx>
            <c:strRef>
              <c:f>Hoja1!$B$1</c:f>
              <c:strCache>
                <c:ptCount val="1"/>
                <c:pt idx="0">
                  <c:v>PRESUPUESTO INICIAL GASTOS DE INVERSION</c:v>
                </c:pt>
              </c:strCache>
            </c:strRef>
          </c:tx>
          <c:explosion val="17"/>
          <c:dPt>
            <c:idx val="0"/>
            <c:bubble3D val="0"/>
            <c:explosion val="0"/>
          </c:dPt>
          <c:dLbls>
            <c:dLbl>
              <c:idx val="0"/>
              <c:layout/>
              <c:tx>
                <c:rich>
                  <a:bodyPr/>
                  <a:lstStyle/>
                  <a:p>
                    <a:r>
                      <a:rPr lang="en-US"/>
                      <a:t>Sector Salud 63.46% </a:t>
                    </a:r>
                  </a:p>
                </c:rich>
              </c:tx>
              <c:showLegendKey val="0"/>
              <c:showVal val="0"/>
              <c:showCatName val="1"/>
              <c:showSerName val="0"/>
              <c:showPercent val="0"/>
              <c:showBubbleSize val="0"/>
              <c:extLst>
                <c:ext xmlns:c15="http://schemas.microsoft.com/office/drawing/2012/chart" uri="{CE6537A1-D6FC-4f65-9D91-7224C49458BB}">
                  <c15:layout/>
                </c:ext>
              </c:extLst>
            </c:dLbl>
            <c:dLbl>
              <c:idx val="1"/>
              <c:layout/>
              <c:tx>
                <c:rich>
                  <a:bodyPr/>
                  <a:lstStyle/>
                  <a:p>
                    <a:r>
                      <a:rPr lang="en-US"/>
                      <a:t>Sector Educación 7.24% </a:t>
                    </a:r>
                  </a:p>
                </c:rich>
              </c:tx>
              <c:showLegendKey val="0"/>
              <c:showVal val="0"/>
              <c:showCatName val="1"/>
              <c:showSerName val="0"/>
              <c:showPercent val="0"/>
              <c:showBubbleSize val="0"/>
              <c:extLst>
                <c:ext xmlns:c15="http://schemas.microsoft.com/office/drawing/2012/chart" uri="{CE6537A1-D6FC-4f65-9D91-7224C49458BB}">
                  <c15:layout/>
                </c:ext>
              </c:extLst>
            </c:dLbl>
            <c:dLbl>
              <c:idx val="2"/>
              <c:layout/>
              <c:tx>
                <c:rich>
                  <a:bodyPr/>
                  <a:lstStyle/>
                  <a:p>
                    <a:r>
                      <a:rPr lang="en-US"/>
                      <a:t>Sector Fortalecimiento Institucional  6.86%</a:t>
                    </a:r>
                  </a:p>
                </c:rich>
              </c:tx>
              <c:showLegendKey val="0"/>
              <c:showVal val="0"/>
              <c:showCatName val="1"/>
              <c:showSerName val="0"/>
              <c:showPercent val="0"/>
              <c:showBubbleSize val="0"/>
              <c:extLst>
                <c:ext xmlns:c15="http://schemas.microsoft.com/office/drawing/2012/chart" uri="{CE6537A1-D6FC-4f65-9D91-7224C49458BB}">
                  <c15:layout/>
                </c:ext>
              </c:extLst>
            </c:dLbl>
            <c:dLbl>
              <c:idx val="3"/>
              <c:layout/>
              <c:tx>
                <c:rich>
                  <a:bodyPr/>
                  <a:lstStyle/>
                  <a:p>
                    <a:r>
                      <a:rPr lang="en-US"/>
                      <a:t>Sector Medio Ambiente 6.44%</a:t>
                    </a:r>
                  </a:p>
                </c:rich>
              </c:tx>
              <c:showLegendKey val="0"/>
              <c:showVal val="0"/>
              <c:showCatName val="1"/>
              <c:showSerName val="0"/>
              <c:showPercent val="0"/>
              <c:showBubbleSize val="0"/>
              <c:extLst>
                <c:ext xmlns:c15="http://schemas.microsoft.com/office/drawing/2012/chart" uri="{CE6537A1-D6FC-4f65-9D91-7224C49458BB}">
                  <c15:layout/>
                </c:ext>
              </c:extLst>
            </c:dLbl>
            <c:dLbl>
              <c:idx val="4"/>
              <c:layout/>
              <c:tx>
                <c:rich>
                  <a:bodyPr/>
                  <a:lstStyle/>
                  <a:p>
                    <a:r>
                      <a:rPr lang="en-US"/>
                      <a:t>Sector Justicia 3.43% </a:t>
                    </a:r>
                  </a:p>
                </c:rich>
              </c:tx>
              <c:showLegendKey val="0"/>
              <c:showVal val="0"/>
              <c:showCatName val="1"/>
              <c:showSerName val="0"/>
              <c:showPercent val="0"/>
              <c:showBubbleSize val="0"/>
              <c:extLst>
                <c:ext xmlns:c15="http://schemas.microsoft.com/office/drawing/2012/chart" uri="{CE6537A1-D6FC-4f65-9D91-7224C49458BB}">
                  <c15:layout/>
                </c:ext>
              </c:extLst>
            </c:dLbl>
            <c:dLbl>
              <c:idx val="5"/>
              <c:layout/>
              <c:tx>
                <c:rich>
                  <a:bodyPr/>
                  <a:lstStyle/>
                  <a:p>
                    <a:r>
                      <a:rPr lang="en-US"/>
                      <a:t>Otros Sectores</a:t>
                    </a:r>
                    <a:r>
                      <a:rPr lang="en-US" baseline="0"/>
                      <a:t> 12.57%</a:t>
                    </a:r>
                    <a:endParaRPr lang="en-US"/>
                  </a:p>
                </c:rich>
              </c:tx>
              <c:showLegendKey val="0"/>
              <c:showVal val="0"/>
              <c:showCatName val="1"/>
              <c:showSerName val="0"/>
              <c:showPercent val="0"/>
              <c:showBubbleSize val="0"/>
              <c:extLst>
                <c:ext xmlns:c15="http://schemas.microsoft.com/office/drawing/2012/chart" uri="{CE6537A1-D6FC-4f65-9D91-7224C49458BB}">
                  <c15:layout/>
                </c:ext>
              </c:extLst>
            </c:dLbl>
            <c:spPr>
              <a:noFill/>
              <a:ln>
                <a:noFill/>
              </a:ln>
              <a:effectLst/>
            </c:spPr>
            <c:showLegendKey val="0"/>
            <c:showVal val="0"/>
            <c:showCatName val="1"/>
            <c:showSerName val="0"/>
            <c:showPercent val="0"/>
            <c:showBubbleSize val="0"/>
            <c:showLeaderLines val="1"/>
            <c:extLst>
              <c:ext xmlns:c15="http://schemas.microsoft.com/office/drawing/2012/chart" uri="{CE6537A1-D6FC-4f65-9D91-7224C49458BB}"/>
            </c:extLst>
          </c:dLbls>
          <c:cat>
            <c:strRef>
              <c:f>Hoja1!$A$2:$A$7</c:f>
              <c:strCache>
                <c:ptCount val="6"/>
                <c:pt idx="0">
                  <c:v>Sector Salud </c:v>
                </c:pt>
                <c:pt idx="1">
                  <c:v>Sector Educación </c:v>
                </c:pt>
                <c:pt idx="2">
                  <c:v>Sector Fortalecimiento Institucional</c:v>
                </c:pt>
                <c:pt idx="3">
                  <c:v>Sector Medio Ambiente</c:v>
                </c:pt>
                <c:pt idx="4">
                  <c:v>Sector Justicia</c:v>
                </c:pt>
                <c:pt idx="5">
                  <c:v>Otros Sectores</c:v>
                </c:pt>
              </c:strCache>
            </c:strRef>
          </c:cat>
          <c:val>
            <c:numRef>
              <c:f>Hoja1!$B$2:$B$7</c:f>
              <c:numCache>
                <c:formatCode>_(* #,##0_);_(* \(#,##0\);_(* "-"??_);_(@_)</c:formatCode>
                <c:ptCount val="6"/>
                <c:pt idx="0">
                  <c:v>2466396</c:v>
                </c:pt>
                <c:pt idx="1">
                  <c:v>281486</c:v>
                </c:pt>
                <c:pt idx="2">
                  <c:v>266517</c:v>
                </c:pt>
                <c:pt idx="3">
                  <c:v>250286</c:v>
                </c:pt>
                <c:pt idx="4">
                  <c:v>133410</c:v>
                </c:pt>
                <c:pt idx="5">
                  <c:v>390905</c:v>
                </c:pt>
              </c:numCache>
            </c:numRef>
          </c:val>
        </c:ser>
        <c:dLbls>
          <c:showLegendKey val="0"/>
          <c:showVal val="0"/>
          <c:showCatName val="1"/>
          <c:showSerName val="0"/>
          <c:showPercent val="0"/>
          <c:showBubbleSize val="0"/>
          <c:showLeaderLines val="1"/>
        </c:dLbls>
        <c:firstSliceAng val="47"/>
      </c:pieChart>
    </c:plotArea>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ADICIONES</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Adiciones</c:v>
                </c:pt>
              </c:strCache>
            </c:strRef>
          </c:tx>
          <c:invertIfNegative val="0"/>
          <c:cat>
            <c:strRef>
              <c:f>Hoja1!$A$2:$A$6</c:f>
              <c:strCache>
                <c:ptCount val="5"/>
                <c:pt idx="0">
                  <c:v>Bienestar Social</c:v>
                </c:pt>
                <c:pt idx="1">
                  <c:v>Salud</c:v>
                </c:pt>
                <c:pt idx="2">
                  <c:v>Tercera Edad</c:v>
                </c:pt>
                <c:pt idx="3">
                  <c:v>Defensa y seguridad</c:v>
                </c:pt>
                <c:pt idx="4">
                  <c:v>Población Infantil</c:v>
                </c:pt>
              </c:strCache>
            </c:strRef>
          </c:cat>
          <c:val>
            <c:numRef>
              <c:f>Hoja1!$B$2:$B$6</c:f>
              <c:numCache>
                <c:formatCode>General</c:formatCode>
                <c:ptCount val="5"/>
                <c:pt idx="0">
                  <c:v>761</c:v>
                </c:pt>
                <c:pt idx="1">
                  <c:v>419</c:v>
                </c:pt>
                <c:pt idx="2">
                  <c:v>214</c:v>
                </c:pt>
                <c:pt idx="3">
                  <c:v>80</c:v>
                </c:pt>
                <c:pt idx="4">
                  <c:v>27</c:v>
                </c:pt>
              </c:numCache>
            </c:numRef>
          </c:val>
        </c:ser>
        <c:dLbls>
          <c:showLegendKey val="0"/>
          <c:showVal val="0"/>
          <c:showCatName val="0"/>
          <c:showSerName val="0"/>
          <c:showPercent val="0"/>
          <c:showBubbleSize val="0"/>
        </c:dLbls>
        <c:gapWidth val="150"/>
        <c:shape val="cylinder"/>
        <c:axId val="1240818784"/>
        <c:axId val="1240820416"/>
        <c:axId val="0"/>
      </c:bar3DChart>
      <c:catAx>
        <c:axId val="1240818784"/>
        <c:scaling>
          <c:orientation val="minMax"/>
        </c:scaling>
        <c:delete val="0"/>
        <c:axPos val="b"/>
        <c:numFmt formatCode="General" sourceLinked="0"/>
        <c:majorTickMark val="out"/>
        <c:minorTickMark val="none"/>
        <c:tickLblPos val="nextTo"/>
        <c:crossAx val="1240820416"/>
        <c:crosses val="autoZero"/>
        <c:auto val="1"/>
        <c:lblAlgn val="ctr"/>
        <c:lblOffset val="100"/>
        <c:noMultiLvlLbl val="0"/>
      </c:catAx>
      <c:valAx>
        <c:axId val="1240820416"/>
        <c:scaling>
          <c:orientation val="minMax"/>
        </c:scaling>
        <c:delete val="0"/>
        <c:axPos val="l"/>
        <c:majorGridlines/>
        <c:numFmt formatCode="General" sourceLinked="1"/>
        <c:majorTickMark val="out"/>
        <c:minorTickMark val="none"/>
        <c:tickLblPos val="nextTo"/>
        <c:crossAx val="1240818784"/>
        <c:crosses val="autoZero"/>
        <c:crossBetween val="between"/>
      </c:valAx>
      <c:spPr>
        <a:blipFill>
          <a:blip xmlns:r="http://schemas.openxmlformats.org/officeDocument/2006/relationships" r:embed="rId1"/>
          <a:tile tx="0" ty="0" sx="100000" sy="100000" flip="none" algn="tl"/>
        </a:blipFill>
      </c:spPr>
    </c:plotArea>
    <c:legend>
      <c:legendPos val="r"/>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D3DE6-C205-4B25-A148-40F9B7875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1912</TotalTime>
  <Pages>13</Pages>
  <Words>1682</Words>
  <Characters>9251</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10912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 de Windows</dc:creator>
  <cp:lastModifiedBy>USER</cp:lastModifiedBy>
  <cp:revision>79</cp:revision>
  <cp:lastPrinted>2016-12-25T22:24:00Z</cp:lastPrinted>
  <dcterms:created xsi:type="dcterms:W3CDTF">2016-10-13T14:31:00Z</dcterms:created>
  <dcterms:modified xsi:type="dcterms:W3CDTF">2016-12-25T22:24:00Z</dcterms:modified>
</cp:coreProperties>
</file>