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E1D" w:rsidRPr="00EA2D8B" w:rsidRDefault="00524E1D" w:rsidP="001D6862">
      <w:pPr>
        <w:spacing w:before="0" w:after="0" w:line="19" w:lineRule="atLeast"/>
        <w:jc w:val="center"/>
        <w:rPr>
          <w:rFonts w:ascii="Tahoma" w:hAnsi="Tahoma" w:cs="Tahoma"/>
          <w:b/>
        </w:rPr>
      </w:pPr>
      <w:bookmarkStart w:id="0" w:name="_GoBack"/>
      <w:bookmarkEnd w:id="0"/>
      <w:r w:rsidRPr="00EA2D8B">
        <w:rPr>
          <w:rFonts w:ascii="Tahoma" w:hAnsi="Tahoma" w:cs="Tahoma"/>
          <w:b/>
        </w:rPr>
        <w:t>INFORME FISCAL Y FINANCIERO</w:t>
      </w:r>
    </w:p>
    <w:p w:rsidR="00524E1D" w:rsidRPr="00EA2D8B" w:rsidRDefault="00524E1D" w:rsidP="001D6862">
      <w:pPr>
        <w:spacing w:before="0" w:after="0" w:line="19" w:lineRule="atLeast"/>
        <w:jc w:val="center"/>
        <w:rPr>
          <w:rFonts w:ascii="Tahoma" w:hAnsi="Tahoma" w:cs="Tahoma"/>
          <w:b/>
        </w:rPr>
      </w:pPr>
      <w:r w:rsidRPr="00EA2D8B">
        <w:rPr>
          <w:rFonts w:ascii="Tahoma" w:hAnsi="Tahoma" w:cs="Tahoma"/>
          <w:b/>
        </w:rPr>
        <w:t xml:space="preserve">MUNICIPIO DE </w:t>
      </w:r>
      <w:r w:rsidR="00B80105">
        <w:rPr>
          <w:rFonts w:ascii="Tahoma" w:hAnsi="Tahoma" w:cs="Tahoma"/>
          <w:b/>
        </w:rPr>
        <w:t>HONDA</w:t>
      </w:r>
    </w:p>
    <w:p w:rsidR="00524E1D" w:rsidRPr="00EA2D8B" w:rsidRDefault="00394BA1" w:rsidP="001D6862">
      <w:pPr>
        <w:spacing w:before="0" w:after="0" w:line="19" w:lineRule="atLeast"/>
        <w:jc w:val="center"/>
        <w:rPr>
          <w:rFonts w:ascii="Tahoma" w:hAnsi="Tahoma" w:cs="Tahoma"/>
          <w:b/>
        </w:rPr>
      </w:pPr>
      <w:r>
        <w:rPr>
          <w:rFonts w:ascii="Tahoma" w:hAnsi="Tahoma" w:cs="Tahoma"/>
          <w:b/>
        </w:rPr>
        <w:t xml:space="preserve"> VIGENCIA 2015</w:t>
      </w:r>
    </w:p>
    <w:p w:rsidR="00524E1D" w:rsidRDefault="00524E1D" w:rsidP="001D6862">
      <w:pPr>
        <w:spacing w:before="0" w:after="0" w:line="19" w:lineRule="atLeast"/>
        <w:rPr>
          <w:rFonts w:ascii="Tahoma" w:hAnsi="Tahoma" w:cs="Tahoma"/>
          <w:sz w:val="16"/>
        </w:rPr>
      </w:pPr>
    </w:p>
    <w:p w:rsidR="00E60742" w:rsidRDefault="00FD082E" w:rsidP="00FD082E">
      <w:pPr>
        <w:pStyle w:val="Ttulo1"/>
        <w:tabs>
          <w:tab w:val="left" w:pos="5664"/>
        </w:tabs>
        <w:spacing w:before="0" w:after="0" w:line="19" w:lineRule="atLeast"/>
        <w:jc w:val="both"/>
        <w:rPr>
          <w:rFonts w:ascii="Tahoma" w:hAnsi="Tahoma" w:cs="Tahoma"/>
          <w:b w:val="0"/>
          <w:sz w:val="22"/>
          <w:szCs w:val="22"/>
        </w:rPr>
      </w:pPr>
      <w:r>
        <w:rPr>
          <w:rFonts w:ascii="Tahoma" w:hAnsi="Tahoma" w:cs="Tahoma"/>
          <w:b w:val="0"/>
          <w:sz w:val="22"/>
          <w:szCs w:val="22"/>
        </w:rPr>
        <w:tab/>
      </w:r>
    </w:p>
    <w:p w:rsidR="009D4B99" w:rsidRDefault="009D4B99" w:rsidP="00AD0C4B">
      <w:pPr>
        <w:pStyle w:val="Ttulo1"/>
        <w:spacing w:before="0" w:after="0" w:line="19" w:lineRule="atLeast"/>
        <w:jc w:val="both"/>
        <w:rPr>
          <w:rFonts w:ascii="Tahoma" w:hAnsi="Tahoma" w:cs="Tahoma"/>
          <w:b w:val="0"/>
          <w:sz w:val="22"/>
          <w:szCs w:val="22"/>
        </w:rPr>
      </w:pPr>
      <w:r w:rsidRPr="009D4B99">
        <w:rPr>
          <w:rFonts w:ascii="Tahoma" w:hAnsi="Tahoma" w:cs="Tahoma"/>
          <w:b w:val="0"/>
          <w:sz w:val="22"/>
          <w:szCs w:val="22"/>
        </w:rPr>
        <w:t xml:space="preserve">El análisis practicado se efectuó sobre el resultado de la ejecución presupuestal de Ingresos y </w:t>
      </w:r>
      <w:r w:rsidR="00AD0C4B">
        <w:rPr>
          <w:rFonts w:ascii="Tahoma" w:hAnsi="Tahoma" w:cs="Tahoma"/>
          <w:b w:val="0"/>
          <w:sz w:val="22"/>
          <w:szCs w:val="22"/>
        </w:rPr>
        <w:t>Gastos de la vigencia 2015</w:t>
      </w:r>
      <w:r w:rsidRPr="009D4B99">
        <w:rPr>
          <w:rFonts w:ascii="Tahoma" w:hAnsi="Tahoma" w:cs="Tahoma"/>
          <w:b w:val="0"/>
          <w:sz w:val="22"/>
          <w:szCs w:val="22"/>
        </w:rPr>
        <w:t xml:space="preserve">, estableciendo un </w:t>
      </w:r>
      <w:r>
        <w:rPr>
          <w:rFonts w:ascii="Tahoma" w:hAnsi="Tahoma" w:cs="Tahoma"/>
          <w:b w:val="0"/>
          <w:sz w:val="22"/>
          <w:szCs w:val="22"/>
        </w:rPr>
        <w:t>comparativo con la vigencia 2014.</w:t>
      </w:r>
    </w:p>
    <w:p w:rsidR="009D4B99" w:rsidRDefault="00F10463" w:rsidP="00736B63">
      <w:pPr>
        <w:tabs>
          <w:tab w:val="left" w:pos="3453"/>
          <w:tab w:val="left" w:pos="7344"/>
        </w:tabs>
        <w:rPr>
          <w:lang w:val="es-ES" w:eastAsia="es-ES"/>
        </w:rPr>
      </w:pPr>
      <w:r>
        <w:rPr>
          <w:lang w:val="es-ES" w:eastAsia="es-ES"/>
        </w:rPr>
        <w:tab/>
      </w:r>
      <w:r w:rsidR="00736B63">
        <w:rPr>
          <w:lang w:val="es-ES" w:eastAsia="es-ES"/>
        </w:rPr>
        <w:tab/>
      </w:r>
    </w:p>
    <w:p w:rsidR="009D4B99" w:rsidRPr="00231ECA" w:rsidRDefault="009D4B99" w:rsidP="009D4B99">
      <w:pPr>
        <w:jc w:val="both"/>
        <w:rPr>
          <w:rFonts w:ascii="Tahoma" w:hAnsi="Tahoma" w:cs="Tahoma"/>
          <w:color w:val="000000" w:themeColor="text1"/>
        </w:rPr>
      </w:pPr>
      <w:r w:rsidRPr="00231ECA">
        <w:rPr>
          <w:rFonts w:ascii="Tahoma" w:hAnsi="Tahoma" w:cs="Tahoma"/>
          <w:color w:val="000000" w:themeColor="text1"/>
        </w:rPr>
        <w:t>Para el estudio y análisis del informe, se tomó como base la Información presupuestal del Sistema Consolidador de Hacienda e Info</w:t>
      </w:r>
      <w:r w:rsidR="00EC36EF" w:rsidRPr="00231ECA">
        <w:rPr>
          <w:rFonts w:ascii="Tahoma" w:hAnsi="Tahoma" w:cs="Tahoma"/>
          <w:color w:val="000000" w:themeColor="text1"/>
        </w:rPr>
        <w:t>rmación Financiera Pública Chip</w:t>
      </w:r>
      <w:r w:rsidR="00485A4C" w:rsidRPr="00231ECA">
        <w:rPr>
          <w:rFonts w:ascii="Tahoma" w:hAnsi="Tahoma" w:cs="Tahoma"/>
          <w:color w:val="000000" w:themeColor="text1"/>
        </w:rPr>
        <w:t xml:space="preserve">, información de la Contraloría General de la República y la </w:t>
      </w:r>
      <w:r w:rsidR="00EC36EF" w:rsidRPr="00231ECA">
        <w:rPr>
          <w:rFonts w:ascii="Tahoma" w:hAnsi="Tahoma" w:cs="Tahoma"/>
          <w:color w:val="000000" w:themeColor="text1"/>
        </w:rPr>
        <w:t>información presupuestal suministrada por el ente Territorial.</w:t>
      </w:r>
    </w:p>
    <w:p w:rsidR="00BD4C82" w:rsidRPr="00231ECA" w:rsidRDefault="00BD4C82" w:rsidP="00BD4C82">
      <w:pPr>
        <w:jc w:val="center"/>
        <w:rPr>
          <w:rFonts w:ascii="Tahoma" w:hAnsi="Tahoma" w:cs="Tahoma"/>
          <w:b/>
          <w:color w:val="000000" w:themeColor="text1"/>
        </w:rPr>
      </w:pPr>
      <w:r w:rsidRPr="00231ECA">
        <w:rPr>
          <w:rFonts w:ascii="Tahoma" w:hAnsi="Tahoma" w:cs="Tahoma"/>
          <w:b/>
          <w:color w:val="000000" w:themeColor="text1"/>
        </w:rPr>
        <w:t>CAPITULO 1</w:t>
      </w:r>
    </w:p>
    <w:p w:rsidR="005C0DCB" w:rsidRPr="00231ECA" w:rsidRDefault="00B97B3B" w:rsidP="00B97B3B">
      <w:pPr>
        <w:tabs>
          <w:tab w:val="left" w:pos="1573"/>
          <w:tab w:val="left" w:pos="2616"/>
          <w:tab w:val="center" w:pos="4420"/>
        </w:tabs>
        <w:rPr>
          <w:rFonts w:ascii="Tahoma" w:hAnsi="Tahoma" w:cs="Tahoma"/>
          <w:b/>
          <w:color w:val="000000" w:themeColor="text1"/>
        </w:rPr>
      </w:pPr>
      <w:r w:rsidRPr="00231ECA">
        <w:rPr>
          <w:rFonts w:ascii="Tahoma" w:hAnsi="Tahoma" w:cs="Tahoma"/>
          <w:b/>
          <w:color w:val="000000" w:themeColor="text1"/>
        </w:rPr>
        <w:t>LEGALIDAD Y APROBACION DEL PRESUPUESTO</w:t>
      </w:r>
    </w:p>
    <w:p w:rsidR="004F758C" w:rsidRPr="00231ECA" w:rsidRDefault="004F758C" w:rsidP="004F758C">
      <w:pPr>
        <w:rPr>
          <w:rFonts w:ascii="Tahoma" w:hAnsi="Tahoma" w:cs="Tahoma"/>
          <w:lang w:val="es-ES" w:eastAsia="es-ES"/>
        </w:rPr>
      </w:pPr>
    </w:p>
    <w:p w:rsidR="009B38B1" w:rsidRPr="00231ECA" w:rsidRDefault="00524E1D" w:rsidP="00AD0C4B">
      <w:pPr>
        <w:pStyle w:val="Ttulo1"/>
        <w:numPr>
          <w:ilvl w:val="0"/>
          <w:numId w:val="2"/>
        </w:numPr>
        <w:spacing w:before="0" w:after="0" w:line="19" w:lineRule="atLeast"/>
        <w:rPr>
          <w:rFonts w:ascii="Tahoma" w:hAnsi="Tahoma" w:cs="Tahoma"/>
          <w:sz w:val="22"/>
          <w:szCs w:val="22"/>
        </w:rPr>
      </w:pPr>
      <w:r w:rsidRPr="00231ECA">
        <w:rPr>
          <w:rFonts w:ascii="Tahoma" w:hAnsi="Tahoma" w:cs="Tahoma"/>
          <w:sz w:val="22"/>
          <w:szCs w:val="22"/>
        </w:rPr>
        <w:t>APROBACIÓN DEL PRESUPUESTO</w:t>
      </w:r>
    </w:p>
    <w:p w:rsidR="00AD0C4B" w:rsidRPr="00231ECA" w:rsidRDefault="00AD0C4B" w:rsidP="001D6862">
      <w:pPr>
        <w:tabs>
          <w:tab w:val="left" w:pos="2835"/>
        </w:tabs>
        <w:spacing w:before="0" w:after="0" w:line="19" w:lineRule="atLeast"/>
        <w:jc w:val="both"/>
        <w:rPr>
          <w:rFonts w:ascii="Tahoma" w:hAnsi="Tahoma" w:cs="Tahoma"/>
          <w:color w:val="auto"/>
        </w:rPr>
      </w:pPr>
    </w:p>
    <w:p w:rsidR="00EC36EF" w:rsidRPr="00231ECA" w:rsidRDefault="00524E1D" w:rsidP="00231ECA">
      <w:pPr>
        <w:tabs>
          <w:tab w:val="left" w:pos="2835"/>
        </w:tabs>
        <w:spacing w:before="0" w:after="0" w:line="19" w:lineRule="atLeast"/>
        <w:jc w:val="both"/>
        <w:rPr>
          <w:rFonts w:ascii="Tahoma" w:hAnsi="Tahoma" w:cs="Tahoma"/>
          <w:color w:val="auto"/>
        </w:rPr>
      </w:pPr>
      <w:r w:rsidRPr="00231ECA">
        <w:rPr>
          <w:rFonts w:ascii="Tahoma" w:hAnsi="Tahoma" w:cs="Tahoma"/>
          <w:color w:val="auto"/>
        </w:rPr>
        <w:t xml:space="preserve">El </w:t>
      </w:r>
      <w:r w:rsidR="00EC36EF" w:rsidRPr="00231ECA">
        <w:rPr>
          <w:rFonts w:ascii="Tahoma" w:hAnsi="Tahoma" w:cs="Tahoma"/>
          <w:color w:val="auto"/>
        </w:rPr>
        <w:t>presupuesto de Rentas y Recursos de Capita</w:t>
      </w:r>
      <w:r w:rsidR="006A0F41" w:rsidRPr="00231ECA">
        <w:rPr>
          <w:rFonts w:ascii="Tahoma" w:hAnsi="Tahoma" w:cs="Tahoma"/>
          <w:color w:val="auto"/>
        </w:rPr>
        <w:t xml:space="preserve">l y Gastos de la vigencia 2015 </w:t>
      </w:r>
      <w:r w:rsidR="00EC36EF" w:rsidRPr="00231ECA">
        <w:rPr>
          <w:rFonts w:ascii="Tahoma" w:hAnsi="Tahoma" w:cs="Tahoma"/>
          <w:color w:val="auto"/>
        </w:rPr>
        <w:t xml:space="preserve">del Municipio de </w:t>
      </w:r>
      <w:r w:rsidR="00AF5368">
        <w:rPr>
          <w:rFonts w:ascii="Tahoma" w:hAnsi="Tahoma" w:cs="Tahoma"/>
          <w:color w:val="auto"/>
        </w:rPr>
        <w:t>Hon</w:t>
      </w:r>
      <w:r w:rsidR="008A0307" w:rsidRPr="00231ECA">
        <w:rPr>
          <w:rFonts w:ascii="Tahoma" w:hAnsi="Tahoma" w:cs="Tahoma"/>
          <w:color w:val="auto"/>
        </w:rPr>
        <w:t>da</w:t>
      </w:r>
      <w:r w:rsidR="00EC36EF" w:rsidRPr="00231ECA">
        <w:rPr>
          <w:rFonts w:ascii="Tahoma" w:hAnsi="Tahoma" w:cs="Tahoma"/>
          <w:color w:val="auto"/>
        </w:rPr>
        <w:t xml:space="preserve">, fue aprobado por el </w:t>
      </w:r>
      <w:r w:rsidRPr="00231ECA">
        <w:rPr>
          <w:rFonts w:ascii="Tahoma" w:hAnsi="Tahoma" w:cs="Tahoma"/>
          <w:color w:val="auto"/>
        </w:rPr>
        <w:t>Concejo Municipal mediante Acuerdo No.</w:t>
      </w:r>
      <w:r w:rsidR="00AD0C4B" w:rsidRPr="00231ECA">
        <w:rPr>
          <w:rFonts w:ascii="Tahoma" w:hAnsi="Tahoma" w:cs="Tahoma"/>
          <w:color w:val="auto"/>
        </w:rPr>
        <w:t xml:space="preserve"> </w:t>
      </w:r>
      <w:r w:rsidR="007F40C8" w:rsidRPr="00231ECA">
        <w:rPr>
          <w:rFonts w:ascii="Tahoma" w:hAnsi="Tahoma" w:cs="Tahoma"/>
          <w:color w:val="auto"/>
        </w:rPr>
        <w:t>01</w:t>
      </w:r>
      <w:r w:rsidR="00A836B4">
        <w:rPr>
          <w:rFonts w:ascii="Tahoma" w:hAnsi="Tahoma" w:cs="Tahoma"/>
          <w:color w:val="auto"/>
        </w:rPr>
        <w:t>7</w:t>
      </w:r>
      <w:r w:rsidR="007F40C8" w:rsidRPr="00231ECA">
        <w:rPr>
          <w:rFonts w:ascii="Tahoma" w:hAnsi="Tahoma" w:cs="Tahoma"/>
          <w:color w:val="auto"/>
        </w:rPr>
        <w:t xml:space="preserve"> </w:t>
      </w:r>
      <w:r w:rsidRPr="00231ECA">
        <w:rPr>
          <w:rFonts w:ascii="Tahoma" w:hAnsi="Tahoma" w:cs="Tahoma"/>
          <w:color w:val="auto"/>
        </w:rPr>
        <w:t>de</w:t>
      </w:r>
      <w:r w:rsidR="007F40C8" w:rsidRPr="00231ECA">
        <w:rPr>
          <w:rFonts w:ascii="Tahoma" w:hAnsi="Tahoma" w:cs="Tahoma"/>
          <w:color w:val="auto"/>
        </w:rPr>
        <w:t xml:space="preserve">l </w:t>
      </w:r>
      <w:r w:rsidR="00A836B4">
        <w:rPr>
          <w:rFonts w:ascii="Tahoma" w:hAnsi="Tahoma" w:cs="Tahoma"/>
          <w:color w:val="auto"/>
        </w:rPr>
        <w:t>30</w:t>
      </w:r>
      <w:r w:rsidR="007F40C8" w:rsidRPr="00231ECA">
        <w:rPr>
          <w:rFonts w:ascii="Tahoma" w:hAnsi="Tahoma" w:cs="Tahoma"/>
          <w:color w:val="auto"/>
        </w:rPr>
        <w:t xml:space="preserve"> de</w:t>
      </w:r>
      <w:r w:rsidR="006D7C83" w:rsidRPr="00231ECA">
        <w:rPr>
          <w:rFonts w:ascii="Tahoma" w:hAnsi="Tahoma" w:cs="Tahoma"/>
          <w:color w:val="auto"/>
        </w:rPr>
        <w:t xml:space="preserve"> </w:t>
      </w:r>
      <w:r w:rsidR="00A836B4">
        <w:rPr>
          <w:rFonts w:ascii="Tahoma" w:hAnsi="Tahoma" w:cs="Tahoma"/>
          <w:color w:val="auto"/>
        </w:rPr>
        <w:t>Novie</w:t>
      </w:r>
      <w:r w:rsidR="00302682" w:rsidRPr="00231ECA">
        <w:rPr>
          <w:rFonts w:ascii="Tahoma" w:hAnsi="Tahoma" w:cs="Tahoma"/>
          <w:color w:val="auto"/>
        </w:rPr>
        <w:t xml:space="preserve">mbre </w:t>
      </w:r>
      <w:r w:rsidR="007F40C8" w:rsidRPr="00231ECA">
        <w:rPr>
          <w:rFonts w:ascii="Tahoma" w:hAnsi="Tahoma" w:cs="Tahoma"/>
          <w:color w:val="auto"/>
        </w:rPr>
        <w:t>de</w:t>
      </w:r>
      <w:r w:rsidR="006D7C83" w:rsidRPr="00231ECA">
        <w:rPr>
          <w:rFonts w:ascii="Tahoma" w:hAnsi="Tahoma" w:cs="Tahoma"/>
          <w:color w:val="auto"/>
        </w:rPr>
        <w:t xml:space="preserve"> 201</w:t>
      </w:r>
      <w:r w:rsidR="00AD0C4B" w:rsidRPr="00231ECA">
        <w:rPr>
          <w:rFonts w:ascii="Tahoma" w:hAnsi="Tahoma" w:cs="Tahoma"/>
          <w:color w:val="auto"/>
        </w:rPr>
        <w:t>4</w:t>
      </w:r>
      <w:r w:rsidR="006D7C83" w:rsidRPr="00231ECA">
        <w:rPr>
          <w:rFonts w:ascii="Tahoma" w:hAnsi="Tahoma" w:cs="Tahoma"/>
          <w:color w:val="auto"/>
        </w:rPr>
        <w:t xml:space="preserve"> </w:t>
      </w:r>
      <w:r w:rsidR="00EC36EF" w:rsidRPr="00231ECA">
        <w:rPr>
          <w:rFonts w:ascii="Tahoma" w:hAnsi="Tahoma" w:cs="Tahoma"/>
          <w:color w:val="auto"/>
        </w:rPr>
        <w:t>y liquidado por el Alcalde Mun</w:t>
      </w:r>
      <w:r w:rsidR="007F40C8" w:rsidRPr="00231ECA">
        <w:rPr>
          <w:rFonts w:ascii="Tahoma" w:hAnsi="Tahoma" w:cs="Tahoma"/>
          <w:color w:val="auto"/>
        </w:rPr>
        <w:t>icipal mediante Decreto número 1</w:t>
      </w:r>
      <w:r w:rsidR="00A836B4">
        <w:rPr>
          <w:rFonts w:ascii="Tahoma" w:hAnsi="Tahoma" w:cs="Tahoma"/>
          <w:color w:val="auto"/>
        </w:rPr>
        <w:t>64</w:t>
      </w:r>
      <w:r w:rsidR="00EC36EF" w:rsidRPr="00231ECA">
        <w:rPr>
          <w:rFonts w:ascii="Tahoma" w:hAnsi="Tahoma" w:cs="Tahoma"/>
          <w:color w:val="auto"/>
        </w:rPr>
        <w:t xml:space="preserve">   del </w:t>
      </w:r>
      <w:r w:rsidR="00A836B4">
        <w:rPr>
          <w:rFonts w:ascii="Tahoma" w:hAnsi="Tahoma" w:cs="Tahoma"/>
          <w:color w:val="auto"/>
        </w:rPr>
        <w:t>31</w:t>
      </w:r>
      <w:r w:rsidR="00EC36EF" w:rsidRPr="00231ECA">
        <w:rPr>
          <w:rFonts w:ascii="Tahoma" w:hAnsi="Tahoma" w:cs="Tahoma"/>
          <w:color w:val="auto"/>
        </w:rPr>
        <w:t xml:space="preserve"> de Diciembre de 2014, </w:t>
      </w:r>
      <w:r w:rsidR="006A0F41" w:rsidRPr="00231ECA">
        <w:rPr>
          <w:rFonts w:ascii="Tahoma" w:hAnsi="Tahoma" w:cs="Tahoma"/>
          <w:color w:val="auto"/>
        </w:rPr>
        <w:t>en la suma de</w:t>
      </w:r>
      <w:r w:rsidR="006A0F41" w:rsidRPr="00231ECA">
        <w:rPr>
          <w:rFonts w:ascii="Tahoma" w:hAnsi="Tahoma" w:cs="Tahoma"/>
          <w:b/>
          <w:color w:val="auto"/>
        </w:rPr>
        <w:t xml:space="preserve">  </w:t>
      </w:r>
      <w:r w:rsidR="00C8709C">
        <w:rPr>
          <w:rFonts w:ascii="Tahoma" w:hAnsi="Tahoma" w:cs="Tahoma"/>
          <w:b/>
          <w:color w:val="auto"/>
        </w:rPr>
        <w:t>ONCE</w:t>
      </w:r>
      <w:r w:rsidR="006A0F41" w:rsidRPr="00231ECA">
        <w:rPr>
          <w:rFonts w:ascii="Tahoma" w:hAnsi="Tahoma" w:cs="Tahoma"/>
          <w:b/>
          <w:color w:val="auto"/>
        </w:rPr>
        <w:t xml:space="preserve"> MIL </w:t>
      </w:r>
      <w:r w:rsidR="00C8709C">
        <w:rPr>
          <w:rFonts w:ascii="Tahoma" w:hAnsi="Tahoma" w:cs="Tahoma"/>
          <w:b/>
          <w:color w:val="auto"/>
        </w:rPr>
        <w:t>TRE</w:t>
      </w:r>
      <w:r w:rsidR="005B6E10" w:rsidRPr="00231ECA">
        <w:rPr>
          <w:rFonts w:ascii="Tahoma" w:hAnsi="Tahoma" w:cs="Tahoma"/>
          <w:b/>
          <w:color w:val="auto"/>
        </w:rPr>
        <w:t xml:space="preserve">SCIENTOS </w:t>
      </w:r>
      <w:r w:rsidR="00C8709C">
        <w:rPr>
          <w:rFonts w:ascii="Tahoma" w:hAnsi="Tahoma" w:cs="Tahoma"/>
          <w:b/>
          <w:color w:val="auto"/>
        </w:rPr>
        <w:t>VEINTISEIS</w:t>
      </w:r>
      <w:r w:rsidR="005B6E10" w:rsidRPr="00231ECA">
        <w:rPr>
          <w:rFonts w:ascii="Tahoma" w:hAnsi="Tahoma" w:cs="Tahoma"/>
          <w:b/>
          <w:color w:val="auto"/>
        </w:rPr>
        <w:t xml:space="preserve"> </w:t>
      </w:r>
      <w:r w:rsidR="006A0F41" w:rsidRPr="00231ECA">
        <w:rPr>
          <w:rFonts w:ascii="Tahoma" w:hAnsi="Tahoma" w:cs="Tahoma"/>
          <w:b/>
          <w:color w:val="auto"/>
        </w:rPr>
        <w:t xml:space="preserve"> MILLONES </w:t>
      </w:r>
      <w:r w:rsidR="00C8709C">
        <w:rPr>
          <w:rFonts w:ascii="Tahoma" w:hAnsi="Tahoma" w:cs="Tahoma"/>
          <w:b/>
          <w:color w:val="auto"/>
        </w:rPr>
        <w:t xml:space="preserve">SEISCIENTOS OCHO MIL SESENTA Y SEIS </w:t>
      </w:r>
      <w:r w:rsidR="005B6E10" w:rsidRPr="00231ECA">
        <w:rPr>
          <w:rFonts w:ascii="Tahoma" w:hAnsi="Tahoma" w:cs="Tahoma"/>
          <w:b/>
          <w:color w:val="auto"/>
        </w:rPr>
        <w:t>PESOS</w:t>
      </w:r>
      <w:r w:rsidR="006A0F41" w:rsidRPr="00231ECA">
        <w:rPr>
          <w:rFonts w:ascii="Tahoma" w:hAnsi="Tahoma" w:cs="Tahoma"/>
          <w:b/>
          <w:color w:val="auto"/>
        </w:rPr>
        <w:t xml:space="preserve"> M/CTE ($</w:t>
      </w:r>
      <w:r w:rsidR="005B6E10" w:rsidRPr="00231ECA">
        <w:rPr>
          <w:rFonts w:ascii="Tahoma" w:hAnsi="Tahoma" w:cs="Tahoma"/>
          <w:b/>
          <w:color w:val="auto"/>
        </w:rPr>
        <w:t>1</w:t>
      </w:r>
      <w:r w:rsidR="00C8709C">
        <w:rPr>
          <w:rFonts w:ascii="Tahoma" w:hAnsi="Tahoma" w:cs="Tahoma"/>
          <w:b/>
          <w:color w:val="auto"/>
        </w:rPr>
        <w:t>1</w:t>
      </w:r>
      <w:r w:rsidR="005B6E10" w:rsidRPr="00231ECA">
        <w:rPr>
          <w:rFonts w:ascii="Tahoma" w:hAnsi="Tahoma" w:cs="Tahoma"/>
          <w:b/>
          <w:color w:val="auto"/>
        </w:rPr>
        <w:t>.</w:t>
      </w:r>
      <w:r w:rsidR="00C8709C">
        <w:rPr>
          <w:rFonts w:ascii="Tahoma" w:hAnsi="Tahoma" w:cs="Tahoma"/>
          <w:b/>
          <w:color w:val="auto"/>
        </w:rPr>
        <w:t>326.608.066.</w:t>
      </w:r>
      <w:r w:rsidR="006A0F41" w:rsidRPr="00231ECA">
        <w:rPr>
          <w:rFonts w:ascii="Tahoma" w:hAnsi="Tahoma" w:cs="Tahoma"/>
          <w:b/>
          <w:color w:val="auto"/>
        </w:rPr>
        <w:t>oo).</w:t>
      </w:r>
      <w:r w:rsidR="00E85A59" w:rsidRPr="00231ECA">
        <w:rPr>
          <w:rFonts w:ascii="Tahoma" w:hAnsi="Tahoma" w:cs="Tahoma"/>
          <w:b/>
          <w:color w:val="auto"/>
        </w:rPr>
        <w:t xml:space="preserve">  </w:t>
      </w:r>
      <w:r w:rsidR="00504C03" w:rsidRPr="00231ECA">
        <w:rPr>
          <w:rFonts w:ascii="Tahoma" w:hAnsi="Tahoma" w:cs="Tahoma"/>
          <w:color w:val="auto"/>
        </w:rPr>
        <w:tab/>
      </w:r>
    </w:p>
    <w:p w:rsidR="00231ECA" w:rsidRDefault="00231ECA" w:rsidP="001D6862">
      <w:pPr>
        <w:spacing w:before="0" w:after="0" w:line="228" w:lineRule="auto"/>
        <w:jc w:val="center"/>
        <w:rPr>
          <w:rFonts w:ascii="Tahoma" w:hAnsi="Tahoma" w:cs="Tahoma"/>
          <w:b/>
        </w:rPr>
      </w:pPr>
    </w:p>
    <w:p w:rsidR="00231ECA" w:rsidRDefault="00231ECA" w:rsidP="001D6862">
      <w:pPr>
        <w:spacing w:before="0" w:after="0" w:line="228" w:lineRule="auto"/>
        <w:jc w:val="center"/>
        <w:rPr>
          <w:rFonts w:ascii="Tahoma" w:hAnsi="Tahoma" w:cs="Tahoma"/>
          <w:b/>
        </w:rPr>
      </w:pPr>
    </w:p>
    <w:p w:rsidR="00153A3B" w:rsidRPr="00231ECA" w:rsidRDefault="005C0DCB" w:rsidP="001D6862">
      <w:pPr>
        <w:spacing w:before="0" w:after="0" w:line="228" w:lineRule="auto"/>
        <w:jc w:val="center"/>
        <w:rPr>
          <w:rFonts w:ascii="Tahoma" w:hAnsi="Tahoma" w:cs="Tahoma"/>
          <w:b/>
        </w:rPr>
      </w:pPr>
      <w:r w:rsidRPr="00231ECA">
        <w:rPr>
          <w:rFonts w:ascii="Tahoma" w:hAnsi="Tahoma" w:cs="Tahoma"/>
          <w:b/>
        </w:rPr>
        <w:t>CAPITULO 2</w:t>
      </w:r>
    </w:p>
    <w:p w:rsidR="005C0DCB" w:rsidRPr="00231ECA" w:rsidRDefault="005C0DCB" w:rsidP="001D6862">
      <w:pPr>
        <w:spacing w:before="0" w:after="0" w:line="228" w:lineRule="auto"/>
        <w:jc w:val="center"/>
        <w:rPr>
          <w:rFonts w:ascii="Tahoma" w:hAnsi="Tahoma" w:cs="Tahoma"/>
          <w:b/>
        </w:rPr>
      </w:pPr>
    </w:p>
    <w:p w:rsidR="00524E1D" w:rsidRPr="00231ECA" w:rsidRDefault="00524E1D" w:rsidP="00C03A42">
      <w:pPr>
        <w:pStyle w:val="Prrafodelista"/>
        <w:numPr>
          <w:ilvl w:val="0"/>
          <w:numId w:val="2"/>
        </w:numPr>
        <w:spacing w:before="0" w:after="0" w:line="228" w:lineRule="auto"/>
        <w:rPr>
          <w:rFonts w:ascii="Tahoma" w:hAnsi="Tahoma" w:cs="Tahoma"/>
          <w:b/>
        </w:rPr>
      </w:pPr>
      <w:r w:rsidRPr="00231ECA">
        <w:rPr>
          <w:rFonts w:ascii="Tahoma" w:hAnsi="Tahoma" w:cs="Tahoma"/>
          <w:b/>
        </w:rPr>
        <w:t>EJECUCION DEL PRESUPUESTO</w:t>
      </w:r>
    </w:p>
    <w:p w:rsidR="00577ABF" w:rsidRPr="00231ECA" w:rsidRDefault="00577ABF" w:rsidP="00577ABF">
      <w:pPr>
        <w:spacing w:before="0" w:after="0" w:line="228" w:lineRule="auto"/>
        <w:rPr>
          <w:rFonts w:ascii="Tahoma" w:hAnsi="Tahoma" w:cs="Tahoma"/>
          <w:b/>
        </w:rPr>
      </w:pPr>
    </w:p>
    <w:p w:rsidR="00EF0F9F" w:rsidRPr="00231ECA" w:rsidRDefault="00153A3B" w:rsidP="00EF0F9F">
      <w:pPr>
        <w:autoSpaceDE w:val="0"/>
        <w:autoSpaceDN w:val="0"/>
        <w:adjustRightInd w:val="0"/>
        <w:spacing w:before="0" w:after="0"/>
        <w:jc w:val="both"/>
        <w:rPr>
          <w:rFonts w:ascii="Tahoma" w:hAnsi="Tahoma" w:cs="Tahoma"/>
          <w:b/>
        </w:rPr>
      </w:pPr>
      <w:r w:rsidRPr="00231ECA">
        <w:rPr>
          <w:rFonts w:ascii="Tahoma" w:eastAsiaTheme="minorHAnsi" w:hAnsi="Tahoma" w:cs="Tahoma"/>
          <w:color w:val="auto"/>
          <w:lang w:eastAsia="en-US"/>
        </w:rPr>
        <w:t>El presupuesto Municipal, es por excelencia una de las principales herramientas de planeación</w:t>
      </w:r>
      <w:r w:rsidR="00AE23D3" w:rsidRPr="00231ECA">
        <w:rPr>
          <w:rFonts w:ascii="Tahoma" w:eastAsiaTheme="minorHAnsi" w:hAnsi="Tahoma" w:cs="Tahoma"/>
          <w:color w:val="auto"/>
          <w:lang w:eastAsia="en-US"/>
        </w:rPr>
        <w:t xml:space="preserve"> </w:t>
      </w:r>
      <w:r w:rsidR="00D27BCA" w:rsidRPr="00231ECA">
        <w:rPr>
          <w:rFonts w:ascii="Tahoma" w:eastAsiaTheme="minorHAnsi" w:hAnsi="Tahoma" w:cs="Tahoma"/>
          <w:color w:val="auto"/>
          <w:lang w:eastAsia="en-US"/>
        </w:rPr>
        <w:t xml:space="preserve">y en él se </w:t>
      </w:r>
      <w:r w:rsidR="00CA669B" w:rsidRPr="00231ECA">
        <w:rPr>
          <w:rFonts w:ascii="Tahoma" w:eastAsiaTheme="minorHAnsi" w:hAnsi="Tahoma" w:cs="Tahoma"/>
          <w:color w:val="auto"/>
          <w:lang w:eastAsia="en-US"/>
        </w:rPr>
        <w:t>deben</w:t>
      </w:r>
      <w:r w:rsidR="00D27BCA" w:rsidRPr="00231ECA">
        <w:rPr>
          <w:rFonts w:ascii="Tahoma" w:eastAsiaTheme="minorHAnsi" w:hAnsi="Tahoma" w:cs="Tahoma"/>
          <w:color w:val="auto"/>
          <w:lang w:eastAsia="en-US"/>
        </w:rPr>
        <w:t xml:space="preserve"> </w:t>
      </w:r>
      <w:r w:rsidR="00EF0F9F" w:rsidRPr="00231ECA">
        <w:rPr>
          <w:rFonts w:ascii="Tahoma" w:eastAsiaTheme="minorHAnsi" w:hAnsi="Tahoma" w:cs="Tahoma"/>
          <w:color w:val="auto"/>
          <w:lang w:eastAsia="en-US"/>
        </w:rPr>
        <w:t>Proyectar los ingresos y rentas a percibir durante la vigencia fiscal y autorizar los respectivos gastos e inversiones; Atender criterios de prioridad, de los programas y proyectos contenidos en el Plan de Desarrollo, y</w:t>
      </w:r>
      <w:r w:rsidR="00CA669B" w:rsidRPr="00231ECA">
        <w:rPr>
          <w:rFonts w:ascii="Tahoma" w:eastAsiaTheme="minorHAnsi" w:hAnsi="Tahoma" w:cs="Tahoma"/>
          <w:color w:val="auto"/>
          <w:lang w:eastAsia="en-US"/>
        </w:rPr>
        <w:t xml:space="preserve"> </w:t>
      </w:r>
      <w:r w:rsidR="00EF0F9F" w:rsidRPr="00231ECA">
        <w:rPr>
          <w:rFonts w:ascii="Tahoma" w:eastAsiaTheme="minorHAnsi" w:hAnsi="Tahoma" w:cs="Tahoma"/>
          <w:color w:val="auto"/>
          <w:lang w:eastAsia="en-US"/>
        </w:rPr>
        <w:t>Alcanzar objetivos financieros, que no son otra cosa que adecuar el comportamiento real de los ingresos a las proyecciones contenidas en el Plan de Desarrollo.</w:t>
      </w:r>
    </w:p>
    <w:p w:rsidR="005C0DCB" w:rsidRPr="00231ECA" w:rsidRDefault="005C0DCB" w:rsidP="005C0DCB">
      <w:pPr>
        <w:tabs>
          <w:tab w:val="left" w:pos="7907"/>
        </w:tabs>
        <w:spacing w:before="0" w:after="0" w:line="228" w:lineRule="auto"/>
        <w:jc w:val="both"/>
        <w:rPr>
          <w:rFonts w:ascii="Tahoma" w:hAnsi="Tahoma" w:cs="Tahoma"/>
          <w:b/>
        </w:rPr>
      </w:pPr>
    </w:p>
    <w:p w:rsidR="005C0DCB" w:rsidRPr="00231ECA" w:rsidRDefault="005C0DCB" w:rsidP="005C0DCB">
      <w:pPr>
        <w:tabs>
          <w:tab w:val="left" w:pos="7907"/>
        </w:tabs>
        <w:spacing w:before="0" w:after="0" w:line="228" w:lineRule="auto"/>
        <w:jc w:val="both"/>
        <w:rPr>
          <w:rFonts w:ascii="Tahoma" w:hAnsi="Tahoma" w:cs="Tahoma"/>
        </w:rPr>
      </w:pPr>
    </w:p>
    <w:p w:rsidR="009848DF" w:rsidRPr="00231ECA" w:rsidRDefault="009848DF" w:rsidP="005C0DCB">
      <w:pPr>
        <w:tabs>
          <w:tab w:val="left" w:pos="7907"/>
        </w:tabs>
        <w:spacing w:before="0" w:after="0" w:line="228" w:lineRule="auto"/>
        <w:jc w:val="both"/>
        <w:rPr>
          <w:rFonts w:ascii="Tahoma" w:hAnsi="Tahoma" w:cs="Tahoma"/>
        </w:rPr>
      </w:pPr>
    </w:p>
    <w:p w:rsidR="009848DF" w:rsidRDefault="009848DF" w:rsidP="005C0DCB">
      <w:pPr>
        <w:tabs>
          <w:tab w:val="left" w:pos="7907"/>
        </w:tabs>
        <w:spacing w:before="0" w:after="0" w:line="228" w:lineRule="auto"/>
        <w:jc w:val="both"/>
        <w:rPr>
          <w:rFonts w:ascii="Tahoma" w:hAnsi="Tahoma" w:cs="Tahoma"/>
        </w:rPr>
      </w:pPr>
    </w:p>
    <w:p w:rsidR="00CB6D39" w:rsidRDefault="00CB6D39" w:rsidP="00DF6119">
      <w:pPr>
        <w:spacing w:before="0" w:after="0" w:line="228" w:lineRule="auto"/>
        <w:jc w:val="both"/>
        <w:rPr>
          <w:rFonts w:ascii="Tahoma" w:hAnsi="Tahoma" w:cs="Tahoma"/>
        </w:rPr>
      </w:pPr>
    </w:p>
    <w:p w:rsidR="00E566A8" w:rsidRDefault="00B212CE" w:rsidP="005220BC">
      <w:pPr>
        <w:pStyle w:val="Prrafodelista"/>
        <w:numPr>
          <w:ilvl w:val="1"/>
          <w:numId w:val="2"/>
        </w:numPr>
        <w:spacing w:before="0" w:after="0" w:line="19" w:lineRule="atLeast"/>
        <w:rPr>
          <w:rFonts w:ascii="Tahoma" w:hAnsi="Tahoma" w:cs="Tahoma"/>
          <w:b/>
        </w:rPr>
      </w:pPr>
      <w:r w:rsidRPr="009848DF">
        <w:rPr>
          <w:rFonts w:ascii="Tahoma" w:hAnsi="Tahoma" w:cs="Tahoma"/>
          <w:b/>
        </w:rPr>
        <w:t xml:space="preserve">ANALISIS A LA </w:t>
      </w:r>
      <w:r w:rsidR="00524E1D" w:rsidRPr="009848DF">
        <w:rPr>
          <w:rFonts w:ascii="Tahoma" w:hAnsi="Tahoma" w:cs="Tahoma"/>
          <w:b/>
        </w:rPr>
        <w:t xml:space="preserve">EJECUCION </w:t>
      </w:r>
      <w:r w:rsidR="00E508CB" w:rsidRPr="009848DF">
        <w:rPr>
          <w:rFonts w:ascii="Tahoma" w:hAnsi="Tahoma" w:cs="Tahoma"/>
          <w:b/>
        </w:rPr>
        <w:t xml:space="preserve"> </w:t>
      </w:r>
      <w:r w:rsidR="00524E1D" w:rsidRPr="009848DF">
        <w:rPr>
          <w:rFonts w:ascii="Tahoma" w:hAnsi="Tahoma" w:cs="Tahoma"/>
          <w:b/>
        </w:rPr>
        <w:t>PRESUPUEST</w:t>
      </w:r>
      <w:r w:rsidRPr="009848DF">
        <w:rPr>
          <w:rFonts w:ascii="Tahoma" w:hAnsi="Tahoma" w:cs="Tahoma"/>
          <w:b/>
        </w:rPr>
        <w:t xml:space="preserve">AL </w:t>
      </w:r>
      <w:r w:rsidR="00524E1D" w:rsidRPr="009848DF">
        <w:rPr>
          <w:rFonts w:ascii="Tahoma" w:hAnsi="Tahoma" w:cs="Tahoma"/>
          <w:b/>
        </w:rPr>
        <w:t xml:space="preserve">DE </w:t>
      </w:r>
      <w:r w:rsidRPr="009848DF">
        <w:rPr>
          <w:rFonts w:ascii="Tahoma" w:hAnsi="Tahoma" w:cs="Tahoma"/>
          <w:b/>
        </w:rPr>
        <w:t xml:space="preserve"> </w:t>
      </w:r>
      <w:r w:rsidR="00524E1D" w:rsidRPr="009848DF">
        <w:rPr>
          <w:rFonts w:ascii="Tahoma" w:hAnsi="Tahoma" w:cs="Tahoma"/>
          <w:b/>
        </w:rPr>
        <w:t>INGRESOS</w:t>
      </w:r>
    </w:p>
    <w:p w:rsidR="009848DF" w:rsidRDefault="009848DF" w:rsidP="009848DF">
      <w:pPr>
        <w:spacing w:before="0" w:after="0" w:line="19" w:lineRule="atLeast"/>
        <w:rPr>
          <w:rFonts w:ascii="Tahoma" w:hAnsi="Tahoma" w:cs="Tahoma"/>
          <w:b/>
        </w:rPr>
      </w:pPr>
    </w:p>
    <w:p w:rsidR="008B0625" w:rsidRPr="009F5AC9" w:rsidRDefault="008445AE" w:rsidP="009848DF">
      <w:pPr>
        <w:tabs>
          <w:tab w:val="left" w:pos="2835"/>
        </w:tabs>
        <w:spacing w:before="0" w:after="0" w:line="19" w:lineRule="atLeast"/>
        <w:jc w:val="both"/>
        <w:rPr>
          <w:rFonts w:ascii="Tahoma" w:eastAsia="Times New Roman" w:hAnsi="Tahoma" w:cs="Tahoma"/>
          <w:b/>
          <w:bCs/>
          <w:color w:val="auto"/>
        </w:rPr>
      </w:pPr>
      <w:r w:rsidRPr="005540CE">
        <w:rPr>
          <w:rFonts w:ascii="Tahoma" w:hAnsi="Tahoma" w:cs="Tahoma"/>
        </w:rPr>
        <w:t xml:space="preserve">El presupuesto </w:t>
      </w:r>
      <w:r w:rsidR="009848DF">
        <w:rPr>
          <w:rFonts w:ascii="Tahoma" w:hAnsi="Tahoma" w:cs="Tahoma"/>
        </w:rPr>
        <w:t xml:space="preserve">de Ingresos </w:t>
      </w:r>
      <w:r w:rsidR="00DA6502">
        <w:rPr>
          <w:rFonts w:ascii="Tahoma" w:hAnsi="Tahoma" w:cs="Tahoma"/>
        </w:rPr>
        <w:t>d</w:t>
      </w:r>
      <w:r w:rsidR="009848DF">
        <w:rPr>
          <w:rFonts w:ascii="Tahoma" w:hAnsi="Tahoma" w:cs="Tahoma"/>
        </w:rPr>
        <w:t xml:space="preserve">el Municipio de </w:t>
      </w:r>
      <w:r w:rsidR="00AF5368">
        <w:rPr>
          <w:rFonts w:ascii="Tahoma" w:hAnsi="Tahoma" w:cs="Tahoma"/>
        </w:rPr>
        <w:t>Hon</w:t>
      </w:r>
      <w:r w:rsidR="009848DF">
        <w:rPr>
          <w:rFonts w:ascii="Tahoma" w:hAnsi="Tahoma" w:cs="Tahoma"/>
        </w:rPr>
        <w:t xml:space="preserve">da </w:t>
      </w:r>
      <w:r w:rsidR="00735592">
        <w:rPr>
          <w:rFonts w:ascii="Tahoma" w:hAnsi="Tahoma" w:cs="Tahoma"/>
        </w:rPr>
        <w:t xml:space="preserve">para </w:t>
      </w:r>
      <w:r w:rsidR="009848DF">
        <w:rPr>
          <w:rFonts w:ascii="Tahoma" w:hAnsi="Tahoma" w:cs="Tahoma"/>
        </w:rPr>
        <w:t xml:space="preserve">la vigencia </w:t>
      </w:r>
      <w:r w:rsidR="00E27D3B">
        <w:rPr>
          <w:rFonts w:ascii="Tahoma" w:hAnsi="Tahoma" w:cs="Tahoma"/>
        </w:rPr>
        <w:t xml:space="preserve">fiscal </w:t>
      </w:r>
      <w:r w:rsidR="009848DF">
        <w:rPr>
          <w:rFonts w:ascii="Tahoma" w:hAnsi="Tahoma" w:cs="Tahoma"/>
        </w:rPr>
        <w:t>2015</w:t>
      </w:r>
      <w:r w:rsidR="00735592">
        <w:rPr>
          <w:rFonts w:ascii="Tahoma" w:hAnsi="Tahoma" w:cs="Tahoma"/>
        </w:rPr>
        <w:t xml:space="preserve"> </w:t>
      </w:r>
      <w:r w:rsidR="009848DF">
        <w:rPr>
          <w:rFonts w:ascii="Tahoma" w:hAnsi="Tahoma" w:cs="Tahoma"/>
        </w:rPr>
        <w:t xml:space="preserve">fue </w:t>
      </w:r>
      <w:r w:rsidR="00735592">
        <w:rPr>
          <w:rFonts w:ascii="Tahoma" w:hAnsi="Tahoma" w:cs="Tahoma"/>
        </w:rPr>
        <w:t xml:space="preserve">aprobado en la </w:t>
      </w:r>
      <w:r w:rsidR="00745F39">
        <w:rPr>
          <w:rFonts w:ascii="Tahoma" w:hAnsi="Tahoma" w:cs="Tahoma"/>
        </w:rPr>
        <w:t xml:space="preserve">cuantía </w:t>
      </w:r>
      <w:r w:rsidR="009848DF">
        <w:rPr>
          <w:rFonts w:ascii="Tahoma" w:hAnsi="Tahoma" w:cs="Tahoma"/>
        </w:rPr>
        <w:t xml:space="preserve">de </w:t>
      </w:r>
      <w:r w:rsidR="00673491">
        <w:rPr>
          <w:rFonts w:ascii="Tahoma" w:hAnsi="Tahoma" w:cs="Tahoma"/>
        </w:rPr>
        <w:t>$</w:t>
      </w:r>
      <w:r w:rsidR="00673491" w:rsidRPr="00231ECA">
        <w:rPr>
          <w:rFonts w:ascii="Tahoma" w:hAnsi="Tahoma" w:cs="Tahoma"/>
          <w:b/>
          <w:color w:val="auto"/>
        </w:rPr>
        <w:t>1</w:t>
      </w:r>
      <w:r w:rsidR="00673491">
        <w:rPr>
          <w:rFonts w:ascii="Tahoma" w:hAnsi="Tahoma" w:cs="Tahoma"/>
          <w:b/>
          <w:color w:val="auto"/>
        </w:rPr>
        <w:t>1</w:t>
      </w:r>
      <w:r w:rsidR="00673491" w:rsidRPr="00231ECA">
        <w:rPr>
          <w:rFonts w:ascii="Tahoma" w:hAnsi="Tahoma" w:cs="Tahoma"/>
          <w:b/>
          <w:color w:val="auto"/>
        </w:rPr>
        <w:t>.</w:t>
      </w:r>
      <w:r w:rsidR="00673491">
        <w:rPr>
          <w:rFonts w:ascii="Tahoma" w:hAnsi="Tahoma" w:cs="Tahoma"/>
          <w:b/>
          <w:color w:val="auto"/>
        </w:rPr>
        <w:t>326.608.066.</w:t>
      </w:r>
      <w:r w:rsidR="00673491" w:rsidRPr="00231ECA">
        <w:rPr>
          <w:rFonts w:ascii="Tahoma" w:hAnsi="Tahoma" w:cs="Tahoma"/>
          <w:b/>
          <w:color w:val="auto"/>
        </w:rPr>
        <w:t>oo</w:t>
      </w:r>
      <w:r w:rsidR="009848DF" w:rsidRPr="00CA669B">
        <w:rPr>
          <w:rFonts w:ascii="Tahoma" w:hAnsi="Tahoma" w:cs="Tahoma"/>
          <w:b/>
          <w:color w:val="auto"/>
        </w:rPr>
        <w:t>,</w:t>
      </w:r>
      <w:r w:rsidR="009848DF">
        <w:rPr>
          <w:rFonts w:ascii="Tahoma" w:hAnsi="Tahoma" w:cs="Tahoma"/>
          <w:b/>
          <w:color w:val="auto"/>
        </w:rPr>
        <w:t xml:space="preserve"> </w:t>
      </w:r>
      <w:r w:rsidR="009848DF" w:rsidRPr="00DA6502">
        <w:rPr>
          <w:rFonts w:ascii="Tahoma" w:hAnsi="Tahoma" w:cs="Tahoma"/>
          <w:color w:val="auto"/>
        </w:rPr>
        <w:t xml:space="preserve">presentó </w:t>
      </w:r>
      <w:r w:rsidR="00DA6502" w:rsidRPr="00DA6502">
        <w:rPr>
          <w:rFonts w:ascii="Tahoma" w:hAnsi="Tahoma" w:cs="Tahoma"/>
          <w:color w:val="auto"/>
        </w:rPr>
        <w:t>adiciones</w:t>
      </w:r>
      <w:r w:rsidR="00735592">
        <w:rPr>
          <w:rFonts w:ascii="Tahoma" w:hAnsi="Tahoma" w:cs="Tahoma"/>
          <w:color w:val="auto"/>
        </w:rPr>
        <w:t xml:space="preserve"> presupuestales por</w:t>
      </w:r>
      <w:r w:rsidR="009848DF" w:rsidRPr="00DA6502">
        <w:rPr>
          <w:rFonts w:ascii="Tahoma" w:hAnsi="Tahoma" w:cs="Tahoma"/>
          <w:color w:val="auto"/>
        </w:rPr>
        <w:t xml:space="preserve"> $</w:t>
      </w:r>
      <w:r w:rsidR="00673491">
        <w:rPr>
          <w:rFonts w:ascii="Tahoma" w:hAnsi="Tahoma" w:cs="Tahoma"/>
          <w:color w:val="auto"/>
        </w:rPr>
        <w:t>20.225</w:t>
      </w:r>
      <w:r w:rsidR="009F5AC9">
        <w:rPr>
          <w:rFonts w:ascii="Tahoma" w:hAnsi="Tahoma" w:cs="Tahoma"/>
          <w:color w:val="auto"/>
        </w:rPr>
        <w:t>.904.828.86</w:t>
      </w:r>
      <w:r w:rsidR="009F5AC9">
        <w:rPr>
          <w:rFonts w:ascii="Tahoma" w:eastAsia="Times New Roman" w:hAnsi="Tahoma" w:cs="Tahoma"/>
          <w:bCs/>
          <w:color w:val="auto"/>
        </w:rPr>
        <w:t>,</w:t>
      </w:r>
      <w:r w:rsidR="00DA6502">
        <w:rPr>
          <w:rFonts w:ascii="Tahoma" w:eastAsia="Times New Roman" w:hAnsi="Tahoma" w:cs="Tahoma"/>
          <w:bCs/>
          <w:color w:val="auto"/>
        </w:rPr>
        <w:t xml:space="preserve"> para un presupuesto definitivo a Diciembre 31 de 2015 de </w:t>
      </w:r>
      <w:r w:rsidR="00DA6502" w:rsidRPr="009F5AC9">
        <w:rPr>
          <w:rFonts w:ascii="Tahoma" w:eastAsia="Times New Roman" w:hAnsi="Tahoma" w:cs="Tahoma"/>
          <w:b/>
          <w:bCs/>
          <w:color w:val="auto"/>
        </w:rPr>
        <w:t>$</w:t>
      </w:r>
      <w:r w:rsidR="009F5AC9" w:rsidRPr="009F5AC9">
        <w:rPr>
          <w:rFonts w:ascii="Tahoma" w:eastAsia="Times New Roman" w:hAnsi="Tahoma" w:cs="Tahoma"/>
          <w:b/>
          <w:bCs/>
          <w:color w:val="auto"/>
        </w:rPr>
        <w:t>31.552.512.894.86</w:t>
      </w:r>
      <w:r w:rsidR="008B0625" w:rsidRPr="009F5AC9">
        <w:rPr>
          <w:rFonts w:ascii="Tahoma" w:eastAsia="Times New Roman" w:hAnsi="Tahoma" w:cs="Tahoma"/>
          <w:b/>
          <w:bCs/>
          <w:color w:val="auto"/>
        </w:rPr>
        <w:t>.oo.</w:t>
      </w:r>
    </w:p>
    <w:p w:rsidR="008B0625" w:rsidRDefault="008B0625" w:rsidP="009848DF">
      <w:pPr>
        <w:tabs>
          <w:tab w:val="left" w:pos="2835"/>
        </w:tabs>
        <w:spacing w:before="0" w:after="0" w:line="19" w:lineRule="atLeast"/>
        <w:jc w:val="both"/>
        <w:rPr>
          <w:rFonts w:ascii="Tahoma" w:eastAsia="Times New Roman" w:hAnsi="Tahoma" w:cs="Tahoma"/>
          <w:b/>
          <w:bCs/>
          <w:color w:val="auto"/>
        </w:rPr>
      </w:pPr>
    </w:p>
    <w:p w:rsidR="00CB6457" w:rsidRDefault="00CB6457" w:rsidP="009848DF">
      <w:pPr>
        <w:tabs>
          <w:tab w:val="left" w:pos="2835"/>
        </w:tabs>
        <w:spacing w:before="0" w:after="0" w:line="19" w:lineRule="atLeast"/>
        <w:jc w:val="both"/>
        <w:rPr>
          <w:rFonts w:ascii="Tahoma" w:eastAsia="Times New Roman" w:hAnsi="Tahoma" w:cs="Tahoma"/>
          <w:b/>
          <w:bCs/>
          <w:color w:val="auto"/>
        </w:rPr>
      </w:pPr>
    </w:p>
    <w:tbl>
      <w:tblPr>
        <w:tblStyle w:val="Tablaconcuadrcula"/>
        <w:tblW w:w="9057" w:type="dxa"/>
        <w:tblLook w:val="04A0" w:firstRow="1" w:lastRow="0" w:firstColumn="1" w:lastColumn="0" w:noHBand="0" w:noVBand="1"/>
      </w:tblPr>
      <w:tblGrid>
        <w:gridCol w:w="2242"/>
        <w:gridCol w:w="2164"/>
        <w:gridCol w:w="2098"/>
        <w:gridCol w:w="2553"/>
      </w:tblGrid>
      <w:tr w:rsidR="008B0625" w:rsidRPr="00BA1DE4" w:rsidTr="00CB6457">
        <w:trPr>
          <w:trHeight w:val="327"/>
        </w:trPr>
        <w:tc>
          <w:tcPr>
            <w:tcW w:w="2264" w:type="dxa"/>
          </w:tcPr>
          <w:p w:rsidR="008B0625" w:rsidRPr="00BA1DE4" w:rsidRDefault="008B0625" w:rsidP="00511C4D">
            <w:pPr>
              <w:tabs>
                <w:tab w:val="left" w:pos="2835"/>
              </w:tabs>
              <w:spacing w:before="0" w:line="19" w:lineRule="atLeast"/>
              <w:jc w:val="center"/>
              <w:rPr>
                <w:rFonts w:ascii="Tahoma" w:eastAsia="Times New Roman" w:hAnsi="Tahoma" w:cs="Tahoma"/>
                <w:bCs/>
                <w:color w:val="auto"/>
                <w:sz w:val="18"/>
                <w:szCs w:val="18"/>
              </w:rPr>
            </w:pPr>
            <w:r w:rsidRPr="00BA1DE4">
              <w:rPr>
                <w:rFonts w:ascii="Tahoma" w:eastAsia="Times New Roman" w:hAnsi="Tahoma" w:cs="Tahoma"/>
                <w:bCs/>
                <w:color w:val="auto"/>
                <w:sz w:val="18"/>
                <w:szCs w:val="18"/>
              </w:rPr>
              <w:t>PRESUPUESTO INICIAL</w:t>
            </w:r>
          </w:p>
        </w:tc>
        <w:tc>
          <w:tcPr>
            <w:tcW w:w="1848" w:type="dxa"/>
          </w:tcPr>
          <w:p w:rsidR="008B0625" w:rsidRPr="00BA1DE4" w:rsidRDefault="008B0625" w:rsidP="00511C4D">
            <w:pPr>
              <w:tabs>
                <w:tab w:val="left" w:pos="2835"/>
              </w:tabs>
              <w:spacing w:before="0" w:line="19" w:lineRule="atLeast"/>
              <w:jc w:val="center"/>
              <w:rPr>
                <w:rFonts w:ascii="Tahoma" w:eastAsia="Times New Roman" w:hAnsi="Tahoma" w:cs="Tahoma"/>
                <w:bCs/>
                <w:color w:val="auto"/>
                <w:sz w:val="18"/>
                <w:szCs w:val="18"/>
              </w:rPr>
            </w:pPr>
            <w:r w:rsidRPr="00BA1DE4">
              <w:rPr>
                <w:rFonts w:ascii="Tahoma" w:eastAsia="Times New Roman" w:hAnsi="Tahoma" w:cs="Tahoma"/>
                <w:bCs/>
                <w:color w:val="auto"/>
                <w:sz w:val="18"/>
                <w:szCs w:val="18"/>
              </w:rPr>
              <w:t>ADICIONES</w:t>
            </w:r>
          </w:p>
        </w:tc>
        <w:tc>
          <w:tcPr>
            <w:tcW w:w="2287" w:type="dxa"/>
          </w:tcPr>
          <w:p w:rsidR="008B0625" w:rsidRPr="00BA1DE4" w:rsidRDefault="008B0625" w:rsidP="00511C4D">
            <w:pPr>
              <w:tabs>
                <w:tab w:val="left" w:pos="2835"/>
              </w:tabs>
              <w:spacing w:before="0" w:line="19" w:lineRule="atLeast"/>
              <w:jc w:val="center"/>
              <w:rPr>
                <w:rFonts w:ascii="Tahoma" w:eastAsia="Times New Roman" w:hAnsi="Tahoma" w:cs="Tahoma"/>
                <w:bCs/>
                <w:color w:val="auto"/>
                <w:sz w:val="18"/>
                <w:szCs w:val="18"/>
              </w:rPr>
            </w:pPr>
            <w:r w:rsidRPr="00BA1DE4">
              <w:rPr>
                <w:rFonts w:ascii="Tahoma" w:eastAsia="Times New Roman" w:hAnsi="Tahoma" w:cs="Tahoma"/>
                <w:bCs/>
                <w:color w:val="auto"/>
                <w:sz w:val="18"/>
                <w:szCs w:val="18"/>
              </w:rPr>
              <w:t>REDUCCIONES</w:t>
            </w:r>
          </w:p>
        </w:tc>
        <w:tc>
          <w:tcPr>
            <w:tcW w:w="2658" w:type="dxa"/>
          </w:tcPr>
          <w:p w:rsidR="008B0625" w:rsidRPr="00BA1DE4" w:rsidRDefault="008B0625" w:rsidP="00511C4D">
            <w:pPr>
              <w:tabs>
                <w:tab w:val="left" w:pos="2835"/>
              </w:tabs>
              <w:spacing w:before="0" w:line="19" w:lineRule="atLeast"/>
              <w:jc w:val="center"/>
              <w:rPr>
                <w:rFonts w:ascii="Tahoma" w:eastAsia="Times New Roman" w:hAnsi="Tahoma" w:cs="Tahoma"/>
                <w:bCs/>
                <w:color w:val="auto"/>
                <w:sz w:val="18"/>
                <w:szCs w:val="18"/>
              </w:rPr>
            </w:pPr>
            <w:r w:rsidRPr="00BA1DE4">
              <w:rPr>
                <w:rFonts w:ascii="Tahoma" w:eastAsia="Times New Roman" w:hAnsi="Tahoma" w:cs="Tahoma"/>
                <w:bCs/>
                <w:color w:val="auto"/>
                <w:sz w:val="18"/>
                <w:szCs w:val="18"/>
              </w:rPr>
              <w:t>PRESUPUESTO DEFINITIVO</w:t>
            </w:r>
          </w:p>
        </w:tc>
      </w:tr>
      <w:tr w:rsidR="008B0625" w:rsidRPr="00BA1DE4" w:rsidTr="00CB6457">
        <w:trPr>
          <w:trHeight w:val="551"/>
        </w:trPr>
        <w:tc>
          <w:tcPr>
            <w:tcW w:w="2264" w:type="dxa"/>
          </w:tcPr>
          <w:p w:rsidR="008B0625" w:rsidRPr="009F5AC9" w:rsidRDefault="009F5AC9" w:rsidP="00511C4D">
            <w:pPr>
              <w:tabs>
                <w:tab w:val="left" w:pos="2835"/>
              </w:tabs>
              <w:spacing w:before="0" w:line="19" w:lineRule="atLeast"/>
              <w:jc w:val="right"/>
              <w:rPr>
                <w:rFonts w:ascii="Tahoma" w:eastAsia="Times New Roman" w:hAnsi="Tahoma" w:cs="Tahoma"/>
                <w:bCs/>
                <w:color w:val="auto"/>
                <w:sz w:val="28"/>
                <w:szCs w:val="28"/>
                <w:vertAlign w:val="subscript"/>
              </w:rPr>
            </w:pPr>
            <w:r w:rsidRPr="009F5AC9">
              <w:rPr>
                <w:rFonts w:ascii="Tahoma" w:hAnsi="Tahoma" w:cs="Tahoma"/>
              </w:rPr>
              <w:t>$</w:t>
            </w:r>
            <w:r w:rsidRPr="009F5AC9">
              <w:rPr>
                <w:rFonts w:ascii="Tahoma" w:hAnsi="Tahoma" w:cs="Tahoma"/>
                <w:color w:val="auto"/>
              </w:rPr>
              <w:t>11.326.608.066.oo</w:t>
            </w:r>
          </w:p>
        </w:tc>
        <w:tc>
          <w:tcPr>
            <w:tcW w:w="1848" w:type="dxa"/>
          </w:tcPr>
          <w:p w:rsidR="008B0625" w:rsidRPr="009F5AC9" w:rsidRDefault="009F5AC9" w:rsidP="00511C4D">
            <w:pPr>
              <w:tabs>
                <w:tab w:val="left" w:pos="2835"/>
              </w:tabs>
              <w:spacing w:before="0" w:line="19" w:lineRule="atLeast"/>
              <w:jc w:val="right"/>
              <w:rPr>
                <w:rFonts w:ascii="Tahoma" w:eastAsia="Times New Roman" w:hAnsi="Tahoma" w:cs="Tahoma"/>
                <w:bCs/>
                <w:color w:val="auto"/>
                <w:sz w:val="28"/>
                <w:szCs w:val="28"/>
                <w:vertAlign w:val="subscript"/>
              </w:rPr>
            </w:pPr>
            <w:r w:rsidRPr="009F5AC9">
              <w:rPr>
                <w:rFonts w:ascii="Tahoma" w:hAnsi="Tahoma" w:cs="Tahoma"/>
                <w:color w:val="auto"/>
              </w:rPr>
              <w:t>$20.225.904.828.86</w:t>
            </w:r>
          </w:p>
        </w:tc>
        <w:tc>
          <w:tcPr>
            <w:tcW w:w="2287" w:type="dxa"/>
          </w:tcPr>
          <w:p w:rsidR="008B0625" w:rsidRPr="009F5AC9" w:rsidRDefault="009F5AC9" w:rsidP="009F5AC9">
            <w:pPr>
              <w:tabs>
                <w:tab w:val="left" w:pos="2835"/>
              </w:tabs>
              <w:spacing w:before="0" w:line="19" w:lineRule="atLeast"/>
              <w:jc w:val="center"/>
              <w:rPr>
                <w:rFonts w:ascii="Tahoma" w:eastAsia="Times New Roman" w:hAnsi="Tahoma" w:cs="Tahoma"/>
                <w:bCs/>
                <w:color w:val="auto"/>
                <w:sz w:val="28"/>
                <w:szCs w:val="28"/>
                <w:vertAlign w:val="subscript"/>
              </w:rPr>
            </w:pPr>
            <w:r w:rsidRPr="009F5AC9">
              <w:rPr>
                <w:rFonts w:ascii="Tahoma" w:eastAsia="Times New Roman" w:hAnsi="Tahoma" w:cs="Tahoma"/>
                <w:bCs/>
                <w:color w:val="auto"/>
                <w:sz w:val="28"/>
                <w:szCs w:val="28"/>
                <w:vertAlign w:val="subscript"/>
              </w:rPr>
              <w:t>0</w:t>
            </w:r>
          </w:p>
        </w:tc>
        <w:tc>
          <w:tcPr>
            <w:tcW w:w="2658" w:type="dxa"/>
          </w:tcPr>
          <w:p w:rsidR="008B0625" w:rsidRPr="009F5AC9" w:rsidRDefault="009F5AC9" w:rsidP="009F5AC9">
            <w:pPr>
              <w:tabs>
                <w:tab w:val="left" w:pos="2835"/>
              </w:tabs>
              <w:spacing w:before="0" w:line="19" w:lineRule="atLeast"/>
              <w:jc w:val="right"/>
              <w:rPr>
                <w:rFonts w:ascii="Tahoma" w:eastAsia="Times New Roman" w:hAnsi="Tahoma" w:cs="Tahoma"/>
                <w:bCs/>
                <w:color w:val="auto"/>
                <w:sz w:val="28"/>
                <w:szCs w:val="28"/>
                <w:vertAlign w:val="subscript"/>
              </w:rPr>
            </w:pPr>
            <w:r w:rsidRPr="009F5AC9">
              <w:rPr>
                <w:rFonts w:ascii="Tahoma" w:eastAsia="Times New Roman" w:hAnsi="Tahoma" w:cs="Tahoma"/>
                <w:bCs/>
                <w:color w:val="auto"/>
              </w:rPr>
              <w:t>$31.552.512.894.86</w:t>
            </w:r>
          </w:p>
        </w:tc>
      </w:tr>
    </w:tbl>
    <w:p w:rsidR="002016AE" w:rsidRPr="00256F6A" w:rsidRDefault="00256F6A" w:rsidP="009848DF">
      <w:pPr>
        <w:tabs>
          <w:tab w:val="left" w:pos="2835"/>
        </w:tabs>
        <w:spacing w:before="0" w:after="0" w:line="19" w:lineRule="atLeast"/>
        <w:jc w:val="both"/>
        <w:rPr>
          <w:rFonts w:ascii="Tahoma" w:eastAsia="Times New Roman" w:hAnsi="Tahoma" w:cs="Tahoma"/>
          <w:bCs/>
          <w:color w:val="auto"/>
          <w:vertAlign w:val="subscript"/>
        </w:rPr>
      </w:pPr>
      <w:r w:rsidRPr="00256F6A">
        <w:rPr>
          <w:rFonts w:ascii="Tahoma" w:eastAsia="Times New Roman" w:hAnsi="Tahoma" w:cs="Tahoma"/>
          <w:bCs/>
          <w:color w:val="auto"/>
          <w:vertAlign w:val="subscript"/>
        </w:rPr>
        <w:t>Información tomada de la ejecución presupuestal del Municipio</w:t>
      </w:r>
      <w:r>
        <w:rPr>
          <w:rFonts w:ascii="Tahoma" w:eastAsia="Times New Roman" w:hAnsi="Tahoma" w:cs="Tahoma"/>
          <w:bCs/>
          <w:color w:val="auto"/>
          <w:vertAlign w:val="subscript"/>
        </w:rPr>
        <w:t xml:space="preserve"> vigencia 2015</w:t>
      </w:r>
    </w:p>
    <w:p w:rsidR="00CB6457" w:rsidRDefault="00CB6457" w:rsidP="003F4BDE">
      <w:pPr>
        <w:tabs>
          <w:tab w:val="left" w:pos="4760"/>
          <w:tab w:val="left" w:pos="6013"/>
          <w:tab w:val="left" w:pos="6693"/>
        </w:tabs>
        <w:spacing w:before="0" w:after="0" w:line="19" w:lineRule="atLeast"/>
        <w:jc w:val="both"/>
        <w:rPr>
          <w:rFonts w:ascii="Tahoma" w:eastAsia="Times New Roman" w:hAnsi="Tahoma" w:cs="Tahoma"/>
          <w:bCs/>
          <w:color w:val="auto"/>
        </w:rPr>
      </w:pPr>
    </w:p>
    <w:p w:rsidR="003F4BDE" w:rsidRDefault="00735592" w:rsidP="003F4BDE">
      <w:pPr>
        <w:tabs>
          <w:tab w:val="left" w:pos="4760"/>
          <w:tab w:val="left" w:pos="6013"/>
          <w:tab w:val="left" w:pos="6693"/>
        </w:tabs>
        <w:spacing w:before="0" w:after="0" w:line="19" w:lineRule="atLeast"/>
        <w:jc w:val="both"/>
        <w:rPr>
          <w:rFonts w:ascii="Tahoma" w:eastAsia="Times New Roman" w:hAnsi="Tahoma" w:cs="Tahoma"/>
          <w:bCs/>
          <w:color w:val="auto"/>
        </w:rPr>
      </w:pPr>
      <w:r>
        <w:rPr>
          <w:rFonts w:ascii="Tahoma" w:eastAsia="Times New Roman" w:hAnsi="Tahoma" w:cs="Tahoma"/>
          <w:bCs/>
          <w:color w:val="auto"/>
        </w:rPr>
        <w:tab/>
      </w:r>
      <w:r w:rsidR="00256F6A">
        <w:rPr>
          <w:rFonts w:ascii="Tahoma" w:eastAsia="Times New Roman" w:hAnsi="Tahoma" w:cs="Tahoma"/>
          <w:bCs/>
          <w:color w:val="auto"/>
        </w:rPr>
        <w:tab/>
      </w:r>
    </w:p>
    <w:p w:rsidR="002016AE" w:rsidRDefault="009F5AC9" w:rsidP="00256F6A">
      <w:pPr>
        <w:tabs>
          <w:tab w:val="left" w:pos="2835"/>
        </w:tabs>
        <w:spacing w:before="0" w:after="0" w:line="19" w:lineRule="atLeast"/>
        <w:jc w:val="center"/>
        <w:rPr>
          <w:rFonts w:ascii="Tahoma" w:eastAsia="Times New Roman" w:hAnsi="Tahoma" w:cs="Tahoma"/>
          <w:bCs/>
          <w:color w:val="auto"/>
        </w:rPr>
      </w:pPr>
      <w:r>
        <w:rPr>
          <w:rFonts w:ascii="Tahoma" w:eastAsia="Times New Roman" w:hAnsi="Tahoma" w:cs="Tahoma"/>
          <w:bCs/>
          <w:noProof/>
          <w:color w:val="auto"/>
        </w:rPr>
        <w:drawing>
          <wp:inline distT="0" distB="0" distL="0" distR="0" wp14:anchorId="179F1259" wp14:editId="4C8F9EAC">
            <wp:extent cx="5097780" cy="3108960"/>
            <wp:effectExtent l="0" t="0" r="26670" b="15240"/>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54CD9" w:rsidRDefault="00054CD9" w:rsidP="009A7AA1">
      <w:pPr>
        <w:jc w:val="both"/>
        <w:rPr>
          <w:rFonts w:ascii="Tahoma" w:eastAsia="Times New Roman" w:hAnsi="Tahoma" w:cs="Tahoma"/>
          <w:bCs/>
          <w:color w:val="auto"/>
        </w:rPr>
      </w:pPr>
    </w:p>
    <w:p w:rsidR="00F8609F" w:rsidRDefault="00F8609F" w:rsidP="009A7AA1">
      <w:pPr>
        <w:jc w:val="both"/>
        <w:rPr>
          <w:rFonts w:ascii="Tahoma" w:eastAsia="Times New Roman" w:hAnsi="Tahoma" w:cs="Tahoma"/>
          <w:color w:val="auto"/>
        </w:rPr>
      </w:pPr>
    </w:p>
    <w:p w:rsidR="00231ECA" w:rsidRDefault="00231ECA" w:rsidP="00685EF4">
      <w:pPr>
        <w:rPr>
          <w:rFonts w:ascii="Tahoma" w:eastAsia="Times New Roman" w:hAnsi="Tahoma" w:cs="Tahoma"/>
          <w:b/>
          <w:color w:val="auto"/>
        </w:rPr>
      </w:pPr>
    </w:p>
    <w:p w:rsidR="00231ECA" w:rsidRDefault="00231ECA" w:rsidP="00685EF4">
      <w:pPr>
        <w:rPr>
          <w:rFonts w:ascii="Tahoma" w:eastAsia="Times New Roman" w:hAnsi="Tahoma" w:cs="Tahoma"/>
          <w:b/>
          <w:color w:val="auto"/>
        </w:rPr>
      </w:pPr>
    </w:p>
    <w:p w:rsidR="00F8609F" w:rsidRDefault="00685EF4" w:rsidP="00685EF4">
      <w:pPr>
        <w:rPr>
          <w:rFonts w:ascii="Tahoma" w:eastAsia="Times New Roman" w:hAnsi="Tahoma" w:cs="Tahoma"/>
          <w:b/>
          <w:color w:val="auto"/>
        </w:rPr>
      </w:pPr>
      <w:r w:rsidRPr="00685EF4">
        <w:rPr>
          <w:rFonts w:ascii="Tahoma" w:eastAsia="Times New Roman" w:hAnsi="Tahoma" w:cs="Tahoma"/>
          <w:b/>
          <w:color w:val="auto"/>
        </w:rPr>
        <w:lastRenderedPageBreak/>
        <w:t>PRESUPUESTO INICIAL DE INGRESOS</w:t>
      </w:r>
    </w:p>
    <w:p w:rsidR="00231ECA" w:rsidRDefault="003D4DEF" w:rsidP="00F740CE">
      <w:pPr>
        <w:jc w:val="center"/>
        <w:rPr>
          <w:rFonts w:ascii="Tahoma" w:eastAsia="Times New Roman" w:hAnsi="Tahoma" w:cs="Tahoma"/>
          <w:b/>
          <w:color w:val="auto"/>
        </w:rPr>
      </w:pPr>
      <w:r w:rsidRPr="003D4DEF">
        <w:rPr>
          <w:noProof/>
        </w:rPr>
        <w:drawing>
          <wp:inline distT="0" distB="0" distL="0" distR="0" wp14:anchorId="10F10A20" wp14:editId="0A1E230D">
            <wp:extent cx="4152900" cy="5455920"/>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154170" cy="5457589"/>
                    </a:xfrm>
                    <a:prstGeom prst="rect">
                      <a:avLst/>
                    </a:prstGeom>
                  </pic:spPr>
                </pic:pic>
              </a:graphicData>
            </a:graphic>
          </wp:inline>
        </w:drawing>
      </w:r>
    </w:p>
    <w:p w:rsidR="009A7AA1" w:rsidRDefault="009A7AA1" w:rsidP="00F8609F">
      <w:pPr>
        <w:jc w:val="center"/>
        <w:rPr>
          <w:rFonts w:ascii="Tahoma" w:eastAsia="Times New Roman" w:hAnsi="Tahoma" w:cs="Tahoma"/>
          <w:color w:val="auto"/>
        </w:rPr>
      </w:pPr>
    </w:p>
    <w:p w:rsidR="00685EF4" w:rsidRDefault="00685EF4" w:rsidP="00685EF4">
      <w:pPr>
        <w:jc w:val="both"/>
        <w:rPr>
          <w:rFonts w:ascii="Tahoma" w:eastAsia="Times New Roman" w:hAnsi="Tahoma" w:cs="Tahoma"/>
          <w:color w:val="auto"/>
        </w:rPr>
      </w:pPr>
      <w:r w:rsidRPr="009A7AA1">
        <w:rPr>
          <w:rFonts w:ascii="Tahoma" w:eastAsia="Times New Roman" w:hAnsi="Tahoma" w:cs="Tahoma"/>
          <w:bCs/>
          <w:color w:val="auto"/>
        </w:rPr>
        <w:t>El presupuesto Inicial de ingresos se dividió en: Ingresos Tributarios con</w:t>
      </w:r>
      <w:r>
        <w:rPr>
          <w:rFonts w:ascii="Tahoma" w:eastAsia="Times New Roman" w:hAnsi="Tahoma" w:cs="Tahoma"/>
          <w:bCs/>
          <w:color w:val="auto"/>
        </w:rPr>
        <w:t xml:space="preserve"> el </w:t>
      </w:r>
      <w:r w:rsidR="003D4DEF">
        <w:rPr>
          <w:rFonts w:ascii="Tahoma" w:eastAsia="Times New Roman" w:hAnsi="Tahoma" w:cs="Tahoma"/>
          <w:bCs/>
          <w:color w:val="auto"/>
        </w:rPr>
        <w:t>46</w:t>
      </w:r>
      <w:r w:rsidRPr="009A7AA1">
        <w:rPr>
          <w:rFonts w:ascii="Tahoma" w:eastAsia="Times New Roman" w:hAnsi="Tahoma" w:cs="Tahoma"/>
          <w:bCs/>
          <w:color w:val="auto"/>
        </w:rPr>
        <w:t>%</w:t>
      </w:r>
      <w:r>
        <w:rPr>
          <w:rFonts w:ascii="Tahoma" w:eastAsia="Times New Roman" w:hAnsi="Tahoma" w:cs="Tahoma"/>
          <w:bCs/>
          <w:color w:val="auto"/>
        </w:rPr>
        <w:t>, equivalentes a</w:t>
      </w:r>
      <w:r w:rsidRPr="009A7AA1">
        <w:rPr>
          <w:rFonts w:ascii="Tahoma" w:eastAsia="Times New Roman" w:hAnsi="Tahoma" w:cs="Tahoma"/>
          <w:bCs/>
          <w:color w:val="auto"/>
        </w:rPr>
        <w:t xml:space="preserve"> </w:t>
      </w:r>
      <w:r>
        <w:rPr>
          <w:rFonts w:ascii="Tahoma" w:eastAsia="Times New Roman" w:hAnsi="Tahoma" w:cs="Tahoma"/>
          <w:bCs/>
          <w:color w:val="auto"/>
        </w:rPr>
        <w:t>$</w:t>
      </w:r>
      <w:r w:rsidR="003D4DEF">
        <w:rPr>
          <w:rFonts w:ascii="Tahoma" w:eastAsia="Times New Roman" w:hAnsi="Tahoma" w:cs="Tahoma"/>
          <w:bCs/>
          <w:color w:val="auto"/>
        </w:rPr>
        <w:t>5.187</w:t>
      </w:r>
      <w:r w:rsidR="00511C4D">
        <w:rPr>
          <w:rFonts w:ascii="Tahoma" w:eastAsia="Times New Roman" w:hAnsi="Tahoma" w:cs="Tahoma"/>
          <w:color w:val="auto"/>
        </w:rPr>
        <w:t xml:space="preserve"> millones,</w:t>
      </w:r>
      <w:r>
        <w:rPr>
          <w:rFonts w:ascii="Tahoma" w:eastAsia="Times New Roman" w:hAnsi="Tahoma" w:cs="Tahoma"/>
          <w:color w:val="auto"/>
        </w:rPr>
        <w:t xml:space="preserve"> </w:t>
      </w:r>
      <w:r w:rsidRPr="009A7AA1">
        <w:rPr>
          <w:rFonts w:ascii="Tahoma" w:eastAsia="Times New Roman" w:hAnsi="Tahoma" w:cs="Tahoma"/>
          <w:bCs/>
          <w:color w:val="auto"/>
        </w:rPr>
        <w:t xml:space="preserve">Ingresos no Tributarios </w:t>
      </w:r>
      <w:r>
        <w:rPr>
          <w:rFonts w:ascii="Tahoma" w:eastAsia="Times New Roman" w:hAnsi="Tahoma" w:cs="Tahoma"/>
          <w:bCs/>
          <w:color w:val="auto"/>
        </w:rPr>
        <w:t xml:space="preserve">con </w:t>
      </w:r>
      <w:r w:rsidR="0040194D">
        <w:rPr>
          <w:rFonts w:ascii="Tahoma" w:eastAsia="Times New Roman" w:hAnsi="Tahoma" w:cs="Tahoma"/>
          <w:bCs/>
          <w:color w:val="auto"/>
        </w:rPr>
        <w:t>el 3% equivalente</w:t>
      </w:r>
      <w:r>
        <w:rPr>
          <w:rFonts w:ascii="Tahoma" w:eastAsia="Times New Roman" w:hAnsi="Tahoma" w:cs="Tahoma"/>
          <w:bCs/>
          <w:color w:val="auto"/>
        </w:rPr>
        <w:t xml:space="preserve"> a </w:t>
      </w:r>
      <w:r w:rsidRPr="009A7AA1">
        <w:rPr>
          <w:rFonts w:ascii="Tahoma" w:eastAsia="Times New Roman" w:hAnsi="Tahoma" w:cs="Tahoma"/>
          <w:bCs/>
          <w:color w:val="auto"/>
        </w:rPr>
        <w:t>$</w:t>
      </w:r>
      <w:r w:rsidR="003D4DEF">
        <w:rPr>
          <w:rFonts w:ascii="Tahoma" w:eastAsia="Times New Roman" w:hAnsi="Tahoma" w:cs="Tahoma"/>
          <w:bCs/>
          <w:color w:val="auto"/>
        </w:rPr>
        <w:t>365</w:t>
      </w:r>
      <w:r w:rsidR="00511C4D">
        <w:rPr>
          <w:rFonts w:ascii="Tahoma" w:eastAsia="Times New Roman" w:hAnsi="Tahoma" w:cs="Tahoma"/>
          <w:color w:val="auto"/>
        </w:rPr>
        <w:t xml:space="preserve"> millones</w:t>
      </w:r>
      <w:r w:rsidR="003D4DEF">
        <w:rPr>
          <w:rFonts w:ascii="Tahoma" w:eastAsia="Times New Roman" w:hAnsi="Tahoma" w:cs="Tahoma"/>
          <w:color w:val="auto"/>
        </w:rPr>
        <w:t xml:space="preserve">, Transferencias con un 50% y recursos de capital </w:t>
      </w:r>
      <w:r>
        <w:rPr>
          <w:rFonts w:ascii="Tahoma" w:eastAsia="Times New Roman" w:hAnsi="Tahoma" w:cs="Tahoma"/>
          <w:bCs/>
          <w:color w:val="auto"/>
        </w:rPr>
        <w:t xml:space="preserve">con un </w:t>
      </w:r>
      <w:r w:rsidR="003D4DEF">
        <w:rPr>
          <w:rFonts w:ascii="Tahoma" w:eastAsia="Times New Roman" w:hAnsi="Tahoma" w:cs="Tahoma"/>
          <w:bCs/>
          <w:color w:val="auto"/>
        </w:rPr>
        <w:t>1</w:t>
      </w:r>
      <w:r>
        <w:rPr>
          <w:rFonts w:ascii="Tahoma" w:eastAsia="Times New Roman" w:hAnsi="Tahoma" w:cs="Tahoma"/>
          <w:bCs/>
          <w:color w:val="auto"/>
        </w:rPr>
        <w:t xml:space="preserve">%, equivalentes </w:t>
      </w:r>
      <w:r w:rsidRPr="009A7AA1">
        <w:rPr>
          <w:rFonts w:ascii="Tahoma" w:eastAsia="Times New Roman" w:hAnsi="Tahoma" w:cs="Tahoma"/>
          <w:bCs/>
          <w:color w:val="auto"/>
        </w:rPr>
        <w:t>$</w:t>
      </w:r>
      <w:r w:rsidR="003D4DEF">
        <w:rPr>
          <w:rFonts w:ascii="Tahoma" w:eastAsia="Times New Roman" w:hAnsi="Tahoma" w:cs="Tahoma"/>
          <w:bCs/>
          <w:color w:val="auto"/>
        </w:rPr>
        <w:t xml:space="preserve">135 </w:t>
      </w:r>
      <w:r w:rsidR="00511C4D">
        <w:rPr>
          <w:rFonts w:ascii="Tahoma" w:eastAsia="Times New Roman" w:hAnsi="Tahoma" w:cs="Tahoma"/>
          <w:color w:val="auto"/>
        </w:rPr>
        <w:t>millones.</w:t>
      </w:r>
      <w:r>
        <w:rPr>
          <w:rFonts w:ascii="Tahoma" w:eastAsia="Times New Roman" w:hAnsi="Tahoma" w:cs="Tahoma"/>
          <w:color w:val="auto"/>
        </w:rPr>
        <w:t xml:space="preserve"> </w:t>
      </w:r>
    </w:p>
    <w:p w:rsidR="004F7C44" w:rsidRDefault="004F7C44" w:rsidP="000653AB">
      <w:pPr>
        <w:tabs>
          <w:tab w:val="left" w:pos="2835"/>
        </w:tabs>
        <w:spacing w:before="0" w:after="0" w:line="19" w:lineRule="atLeast"/>
        <w:jc w:val="right"/>
        <w:rPr>
          <w:rFonts w:ascii="Tahoma" w:eastAsia="Times New Roman" w:hAnsi="Tahoma" w:cs="Tahoma"/>
          <w:bCs/>
          <w:color w:val="auto"/>
        </w:rPr>
      </w:pPr>
    </w:p>
    <w:p w:rsidR="00DE4790" w:rsidRDefault="00AE23D3" w:rsidP="00685EF4">
      <w:pPr>
        <w:tabs>
          <w:tab w:val="left" w:pos="2835"/>
        </w:tabs>
        <w:spacing w:before="0" w:after="0" w:line="19" w:lineRule="atLeast"/>
        <w:jc w:val="center"/>
        <w:rPr>
          <w:rFonts w:ascii="Tahoma" w:eastAsia="Times New Roman" w:hAnsi="Tahoma" w:cs="Tahoma"/>
          <w:b/>
          <w:bCs/>
          <w:color w:val="auto"/>
        </w:rPr>
      </w:pPr>
      <w:r>
        <w:rPr>
          <w:rFonts w:ascii="Tahoma" w:eastAsia="Times New Roman" w:hAnsi="Tahoma" w:cs="Tahoma"/>
          <w:noProof/>
          <w:color w:val="auto"/>
        </w:rPr>
        <w:drawing>
          <wp:inline distT="0" distB="0" distL="0" distR="0" wp14:anchorId="77DF4E74" wp14:editId="4CD1BC8A">
            <wp:extent cx="4853940" cy="2575560"/>
            <wp:effectExtent l="0" t="0" r="22860" b="1524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31ECA" w:rsidRDefault="00231ECA" w:rsidP="00521391">
      <w:pPr>
        <w:tabs>
          <w:tab w:val="left" w:pos="2835"/>
        </w:tabs>
        <w:spacing w:before="0" w:after="0" w:line="19" w:lineRule="atLeast"/>
        <w:jc w:val="both"/>
        <w:rPr>
          <w:rFonts w:ascii="Tahoma" w:eastAsia="Times New Roman" w:hAnsi="Tahoma" w:cs="Tahoma"/>
          <w:b/>
          <w:bCs/>
          <w:color w:val="auto"/>
        </w:rPr>
      </w:pPr>
    </w:p>
    <w:p w:rsidR="00521391" w:rsidRPr="00521391" w:rsidRDefault="00521391" w:rsidP="00521391">
      <w:pPr>
        <w:tabs>
          <w:tab w:val="left" w:pos="2835"/>
        </w:tabs>
        <w:spacing w:before="0" w:after="0" w:line="19" w:lineRule="atLeast"/>
        <w:jc w:val="both"/>
        <w:rPr>
          <w:rFonts w:ascii="Tahoma" w:eastAsia="Times New Roman" w:hAnsi="Tahoma" w:cs="Tahoma"/>
          <w:b/>
          <w:bCs/>
          <w:color w:val="auto"/>
        </w:rPr>
      </w:pPr>
      <w:r w:rsidRPr="00521391">
        <w:rPr>
          <w:rFonts w:ascii="Tahoma" w:eastAsia="Times New Roman" w:hAnsi="Tahoma" w:cs="Tahoma"/>
          <w:b/>
          <w:bCs/>
          <w:color w:val="auto"/>
        </w:rPr>
        <w:t>MODIFICACIONES AL PRESUPUESTO</w:t>
      </w:r>
      <w:r w:rsidR="00800EA9">
        <w:rPr>
          <w:rFonts w:ascii="Tahoma" w:eastAsia="Times New Roman" w:hAnsi="Tahoma" w:cs="Tahoma"/>
          <w:b/>
          <w:bCs/>
          <w:color w:val="auto"/>
        </w:rPr>
        <w:t xml:space="preserve"> </w:t>
      </w:r>
      <w:r w:rsidR="00CB6457">
        <w:rPr>
          <w:rFonts w:ascii="Tahoma" w:eastAsia="Times New Roman" w:hAnsi="Tahoma" w:cs="Tahoma"/>
          <w:b/>
          <w:bCs/>
          <w:color w:val="auto"/>
        </w:rPr>
        <w:t xml:space="preserve">DE INGRESOS </w:t>
      </w:r>
      <w:r w:rsidR="00800EA9">
        <w:rPr>
          <w:rFonts w:ascii="Tahoma" w:eastAsia="Times New Roman" w:hAnsi="Tahoma" w:cs="Tahoma"/>
          <w:b/>
          <w:bCs/>
          <w:color w:val="auto"/>
        </w:rPr>
        <w:t>(ADICIONES)</w:t>
      </w:r>
    </w:p>
    <w:p w:rsidR="00EE543C" w:rsidRDefault="00EE543C" w:rsidP="00521391">
      <w:pPr>
        <w:tabs>
          <w:tab w:val="left" w:pos="2835"/>
        </w:tabs>
        <w:spacing w:before="0" w:after="0" w:line="19" w:lineRule="atLeast"/>
        <w:jc w:val="both"/>
        <w:rPr>
          <w:rFonts w:ascii="Tahoma" w:eastAsia="Times New Roman" w:hAnsi="Tahoma" w:cs="Tahoma"/>
          <w:bCs/>
          <w:color w:val="auto"/>
        </w:rPr>
      </w:pPr>
    </w:p>
    <w:p w:rsidR="00D41094" w:rsidRDefault="00D41094" w:rsidP="00521391">
      <w:pPr>
        <w:tabs>
          <w:tab w:val="left" w:pos="2835"/>
        </w:tabs>
        <w:spacing w:before="0" w:after="0" w:line="19" w:lineRule="atLeast"/>
        <w:jc w:val="both"/>
        <w:rPr>
          <w:rFonts w:ascii="Tahoma" w:eastAsia="Times New Roman" w:hAnsi="Tahoma" w:cs="Tahoma"/>
          <w:bCs/>
          <w:color w:val="auto"/>
        </w:rPr>
      </w:pPr>
    </w:p>
    <w:p w:rsidR="001D78F5" w:rsidRDefault="001D78F5" w:rsidP="001D78F5">
      <w:pPr>
        <w:tabs>
          <w:tab w:val="left" w:pos="2835"/>
        </w:tabs>
        <w:spacing w:before="0" w:after="0" w:line="19" w:lineRule="atLeast"/>
        <w:jc w:val="both"/>
        <w:rPr>
          <w:rFonts w:ascii="Tahoma" w:eastAsia="Times New Roman" w:hAnsi="Tahoma" w:cs="Tahoma"/>
          <w:bCs/>
          <w:color w:val="auto"/>
        </w:rPr>
      </w:pPr>
      <w:r>
        <w:rPr>
          <w:rFonts w:ascii="Tahoma" w:eastAsia="Times New Roman" w:hAnsi="Tahoma" w:cs="Tahoma"/>
          <w:bCs/>
          <w:color w:val="auto"/>
        </w:rPr>
        <w:t>El presupuesto de ingresos del Municipio de Honda fue adicionado en un 179%, equivalentes a $20.225 millones y las principales modificaciones se realizaron en los Ingresos Tributarios en la suma de $</w:t>
      </w:r>
      <w:r w:rsidR="0095205A">
        <w:rPr>
          <w:rFonts w:ascii="Tahoma" w:eastAsia="Times New Roman" w:hAnsi="Tahoma" w:cs="Tahoma"/>
          <w:bCs/>
          <w:color w:val="auto"/>
        </w:rPr>
        <w:t>1.358</w:t>
      </w:r>
      <w:r>
        <w:rPr>
          <w:rFonts w:ascii="Tahoma" w:eastAsia="Times New Roman" w:hAnsi="Tahoma" w:cs="Tahoma"/>
          <w:bCs/>
          <w:color w:val="auto"/>
        </w:rPr>
        <w:t xml:space="preserve"> millones, </w:t>
      </w:r>
      <w:r w:rsidR="0095205A">
        <w:rPr>
          <w:rFonts w:ascii="Tahoma" w:eastAsia="Times New Roman" w:hAnsi="Tahoma" w:cs="Tahoma"/>
          <w:bCs/>
          <w:color w:val="auto"/>
        </w:rPr>
        <w:t>Transferencias</w:t>
      </w:r>
      <w:r>
        <w:rPr>
          <w:rFonts w:ascii="Tahoma" w:eastAsia="Times New Roman" w:hAnsi="Tahoma" w:cs="Tahoma"/>
          <w:bCs/>
          <w:color w:val="auto"/>
        </w:rPr>
        <w:t xml:space="preserve"> en la suma de $</w:t>
      </w:r>
      <w:r w:rsidR="00DE266F">
        <w:rPr>
          <w:rFonts w:ascii="Tahoma" w:eastAsia="Times New Roman" w:hAnsi="Tahoma" w:cs="Tahoma"/>
          <w:bCs/>
          <w:color w:val="auto"/>
        </w:rPr>
        <w:t>6.</w:t>
      </w:r>
      <w:r w:rsidR="001E7B03">
        <w:rPr>
          <w:rFonts w:ascii="Tahoma" w:eastAsia="Times New Roman" w:hAnsi="Tahoma" w:cs="Tahoma"/>
          <w:bCs/>
          <w:color w:val="auto"/>
        </w:rPr>
        <w:t>685</w:t>
      </w:r>
      <w:r>
        <w:rPr>
          <w:rFonts w:ascii="Tahoma" w:eastAsia="Times New Roman" w:hAnsi="Tahoma" w:cs="Tahoma"/>
          <w:bCs/>
          <w:color w:val="auto"/>
        </w:rPr>
        <w:t xml:space="preserve"> millones</w:t>
      </w:r>
      <w:r w:rsidR="00DE266F">
        <w:rPr>
          <w:rFonts w:ascii="Tahoma" w:eastAsia="Times New Roman" w:hAnsi="Tahoma" w:cs="Tahoma"/>
          <w:bCs/>
          <w:color w:val="auto"/>
        </w:rPr>
        <w:t xml:space="preserve">, </w:t>
      </w:r>
      <w:r>
        <w:rPr>
          <w:rFonts w:ascii="Tahoma" w:eastAsia="Times New Roman" w:hAnsi="Tahoma" w:cs="Tahoma"/>
          <w:bCs/>
          <w:color w:val="auto"/>
        </w:rPr>
        <w:t>Recursos de Capital en la suma de $</w:t>
      </w:r>
      <w:r w:rsidR="00DE266F">
        <w:rPr>
          <w:rFonts w:ascii="Tahoma" w:eastAsia="Times New Roman" w:hAnsi="Tahoma" w:cs="Tahoma"/>
          <w:bCs/>
          <w:color w:val="auto"/>
        </w:rPr>
        <w:t>12.182</w:t>
      </w:r>
      <w:r>
        <w:rPr>
          <w:rFonts w:ascii="Tahoma" w:eastAsia="Times New Roman" w:hAnsi="Tahoma" w:cs="Tahoma"/>
          <w:bCs/>
          <w:color w:val="auto"/>
        </w:rPr>
        <w:t xml:space="preserve"> millones</w:t>
      </w:r>
      <w:r w:rsidR="00DE266F">
        <w:rPr>
          <w:rFonts w:ascii="Tahoma" w:eastAsia="Times New Roman" w:hAnsi="Tahoma" w:cs="Tahoma"/>
          <w:bCs/>
          <w:color w:val="auto"/>
        </w:rPr>
        <w:t>.</w:t>
      </w:r>
      <w:r>
        <w:rPr>
          <w:rFonts w:ascii="Tahoma" w:eastAsia="Times New Roman" w:hAnsi="Tahoma" w:cs="Tahoma"/>
          <w:bCs/>
          <w:color w:val="auto"/>
        </w:rPr>
        <w:t xml:space="preserve"> Ver </w:t>
      </w:r>
      <w:r w:rsidR="007B4958">
        <w:rPr>
          <w:rFonts w:ascii="Tahoma" w:eastAsia="Times New Roman" w:hAnsi="Tahoma" w:cs="Tahoma"/>
          <w:bCs/>
          <w:color w:val="auto"/>
        </w:rPr>
        <w:t>gráfico y tabla</w:t>
      </w:r>
      <w:r>
        <w:rPr>
          <w:rFonts w:ascii="Tahoma" w:eastAsia="Times New Roman" w:hAnsi="Tahoma" w:cs="Tahoma"/>
          <w:bCs/>
          <w:color w:val="auto"/>
        </w:rPr>
        <w:t>.</w:t>
      </w:r>
    </w:p>
    <w:p w:rsidR="00D41094" w:rsidRDefault="00D41094" w:rsidP="00521391">
      <w:pPr>
        <w:tabs>
          <w:tab w:val="left" w:pos="2835"/>
        </w:tabs>
        <w:spacing w:before="0" w:after="0" w:line="19" w:lineRule="atLeast"/>
        <w:jc w:val="both"/>
        <w:rPr>
          <w:rFonts w:ascii="Tahoma" w:eastAsia="Times New Roman" w:hAnsi="Tahoma" w:cs="Tahoma"/>
          <w:bCs/>
          <w:color w:val="auto"/>
        </w:rPr>
      </w:pPr>
    </w:p>
    <w:p w:rsidR="00D41094" w:rsidRDefault="002E2CB7" w:rsidP="00F740CE">
      <w:pPr>
        <w:tabs>
          <w:tab w:val="left" w:pos="2835"/>
        </w:tabs>
        <w:spacing w:before="0" w:after="0" w:line="19" w:lineRule="atLeast"/>
        <w:jc w:val="center"/>
        <w:rPr>
          <w:rFonts w:ascii="Tahoma" w:eastAsia="Times New Roman" w:hAnsi="Tahoma" w:cs="Tahoma"/>
          <w:bCs/>
          <w:color w:val="auto"/>
        </w:rPr>
      </w:pPr>
      <w:r w:rsidRPr="004547A6">
        <w:rPr>
          <w:noProof/>
        </w:rPr>
        <w:drawing>
          <wp:inline distT="0" distB="0" distL="0" distR="0" wp14:anchorId="53A072F1" wp14:editId="4D66713D">
            <wp:extent cx="4709160" cy="2423160"/>
            <wp:effectExtent l="0" t="0" r="0"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709570" cy="2423371"/>
                    </a:xfrm>
                    <a:prstGeom prst="rect">
                      <a:avLst/>
                    </a:prstGeom>
                  </pic:spPr>
                </pic:pic>
              </a:graphicData>
            </a:graphic>
          </wp:inline>
        </w:drawing>
      </w:r>
    </w:p>
    <w:p w:rsidR="00231ECA" w:rsidRDefault="004547A6" w:rsidP="00521391">
      <w:pPr>
        <w:tabs>
          <w:tab w:val="left" w:pos="2835"/>
        </w:tabs>
        <w:spacing w:before="0" w:after="0" w:line="19" w:lineRule="atLeast"/>
        <w:jc w:val="both"/>
        <w:rPr>
          <w:rFonts w:ascii="Tahoma" w:eastAsia="Times New Roman" w:hAnsi="Tahoma" w:cs="Tahoma"/>
          <w:bCs/>
          <w:color w:val="auto"/>
        </w:rPr>
      </w:pPr>
      <w:r w:rsidRPr="004547A6">
        <w:rPr>
          <w:noProof/>
        </w:rPr>
        <w:lastRenderedPageBreak/>
        <w:drawing>
          <wp:inline distT="0" distB="0" distL="0" distR="0" wp14:anchorId="66045B5D" wp14:editId="5031DCAB">
            <wp:extent cx="5612130" cy="6367145"/>
            <wp:effectExtent l="0" t="0" r="762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12130" cy="6367145"/>
                    </a:xfrm>
                    <a:prstGeom prst="rect">
                      <a:avLst/>
                    </a:prstGeom>
                  </pic:spPr>
                </pic:pic>
              </a:graphicData>
            </a:graphic>
          </wp:inline>
        </w:drawing>
      </w:r>
    </w:p>
    <w:p w:rsidR="00EE543C" w:rsidRDefault="00EE543C" w:rsidP="00EE543C">
      <w:pPr>
        <w:tabs>
          <w:tab w:val="left" w:pos="2835"/>
        </w:tabs>
        <w:spacing w:before="0" w:after="0" w:line="19" w:lineRule="atLeast"/>
        <w:jc w:val="center"/>
        <w:rPr>
          <w:rFonts w:ascii="Tahoma" w:eastAsia="Times New Roman" w:hAnsi="Tahoma" w:cs="Tahoma"/>
          <w:bCs/>
          <w:color w:val="auto"/>
        </w:rPr>
      </w:pPr>
    </w:p>
    <w:p w:rsidR="00EE40F7" w:rsidRDefault="00EE40F7" w:rsidP="009848DF">
      <w:pPr>
        <w:tabs>
          <w:tab w:val="left" w:pos="2835"/>
        </w:tabs>
        <w:spacing w:before="0" w:after="0" w:line="19" w:lineRule="atLeast"/>
        <w:jc w:val="both"/>
        <w:rPr>
          <w:rFonts w:ascii="Tahoma" w:eastAsia="Times New Roman" w:hAnsi="Tahoma" w:cs="Tahoma"/>
          <w:bCs/>
          <w:color w:val="auto"/>
        </w:rPr>
      </w:pPr>
    </w:p>
    <w:p w:rsidR="00B33ABA" w:rsidRDefault="00B33ABA" w:rsidP="00256F6A">
      <w:pPr>
        <w:tabs>
          <w:tab w:val="left" w:pos="5667"/>
        </w:tabs>
        <w:spacing w:before="0" w:after="0" w:line="19" w:lineRule="atLeast"/>
        <w:jc w:val="both"/>
        <w:rPr>
          <w:rFonts w:ascii="Tahoma" w:eastAsia="Times New Roman" w:hAnsi="Tahoma" w:cs="Tahoma"/>
          <w:b/>
          <w:bCs/>
          <w:color w:val="auto"/>
        </w:rPr>
      </w:pPr>
      <w:r w:rsidRPr="00B33ABA">
        <w:rPr>
          <w:rFonts w:ascii="Tahoma" w:eastAsia="Times New Roman" w:hAnsi="Tahoma" w:cs="Tahoma"/>
          <w:b/>
          <w:bCs/>
          <w:color w:val="auto"/>
        </w:rPr>
        <w:lastRenderedPageBreak/>
        <w:t>FUENTES DE FINANCIACION PRESUPUESTO</w:t>
      </w:r>
    </w:p>
    <w:p w:rsidR="00B33ABA" w:rsidRPr="00B33ABA" w:rsidRDefault="00B33ABA" w:rsidP="00256F6A">
      <w:pPr>
        <w:tabs>
          <w:tab w:val="left" w:pos="5667"/>
        </w:tabs>
        <w:spacing w:before="0" w:after="0" w:line="19" w:lineRule="atLeast"/>
        <w:jc w:val="both"/>
        <w:rPr>
          <w:rFonts w:ascii="Tahoma" w:eastAsia="Times New Roman" w:hAnsi="Tahoma" w:cs="Tahoma"/>
          <w:b/>
          <w:bCs/>
          <w:color w:val="auto"/>
        </w:rPr>
      </w:pPr>
    </w:p>
    <w:p w:rsidR="005124DB" w:rsidRDefault="004B1676" w:rsidP="00256F6A">
      <w:pPr>
        <w:tabs>
          <w:tab w:val="left" w:pos="5667"/>
        </w:tabs>
        <w:spacing w:before="0" w:after="0" w:line="19" w:lineRule="atLeast"/>
        <w:jc w:val="both"/>
        <w:rPr>
          <w:rFonts w:ascii="Tahoma" w:eastAsia="Times New Roman" w:hAnsi="Tahoma" w:cs="Tahoma"/>
          <w:bCs/>
          <w:color w:val="auto"/>
        </w:rPr>
      </w:pPr>
      <w:r>
        <w:rPr>
          <w:rFonts w:ascii="Tahoma" w:eastAsia="Times New Roman" w:hAnsi="Tahoma" w:cs="Tahoma"/>
          <w:bCs/>
          <w:color w:val="auto"/>
        </w:rPr>
        <w:t xml:space="preserve">Las principales fuentes </w:t>
      </w:r>
      <w:r w:rsidR="00745F39">
        <w:rPr>
          <w:rFonts w:ascii="Tahoma" w:eastAsia="Times New Roman" w:hAnsi="Tahoma" w:cs="Tahoma"/>
          <w:bCs/>
          <w:color w:val="auto"/>
        </w:rPr>
        <w:t xml:space="preserve">que </w:t>
      </w:r>
      <w:r>
        <w:rPr>
          <w:rFonts w:ascii="Tahoma" w:eastAsia="Times New Roman" w:hAnsi="Tahoma" w:cs="Tahoma"/>
          <w:bCs/>
          <w:color w:val="auto"/>
        </w:rPr>
        <w:t>financia</w:t>
      </w:r>
      <w:r w:rsidR="00745F39">
        <w:rPr>
          <w:rFonts w:ascii="Tahoma" w:eastAsia="Times New Roman" w:hAnsi="Tahoma" w:cs="Tahoma"/>
          <w:bCs/>
          <w:color w:val="auto"/>
        </w:rPr>
        <w:t xml:space="preserve">ron </w:t>
      </w:r>
      <w:r>
        <w:rPr>
          <w:rFonts w:ascii="Tahoma" w:eastAsia="Times New Roman" w:hAnsi="Tahoma" w:cs="Tahoma"/>
          <w:bCs/>
          <w:color w:val="auto"/>
        </w:rPr>
        <w:t>el presupuesto del Municipio</w:t>
      </w:r>
      <w:r w:rsidR="00D27BCA">
        <w:rPr>
          <w:rFonts w:ascii="Tahoma" w:eastAsia="Times New Roman" w:hAnsi="Tahoma" w:cs="Tahoma"/>
          <w:bCs/>
          <w:color w:val="auto"/>
        </w:rPr>
        <w:t xml:space="preserve"> de </w:t>
      </w:r>
      <w:r w:rsidR="00D210D7">
        <w:rPr>
          <w:rFonts w:ascii="Tahoma" w:eastAsia="Times New Roman" w:hAnsi="Tahoma" w:cs="Tahoma"/>
          <w:bCs/>
          <w:color w:val="auto"/>
        </w:rPr>
        <w:t>Hond</w:t>
      </w:r>
      <w:r w:rsidR="00D27BCA">
        <w:rPr>
          <w:rFonts w:ascii="Tahoma" w:eastAsia="Times New Roman" w:hAnsi="Tahoma" w:cs="Tahoma"/>
          <w:bCs/>
          <w:color w:val="auto"/>
        </w:rPr>
        <w:t>a</w:t>
      </w:r>
      <w:r>
        <w:rPr>
          <w:rFonts w:ascii="Tahoma" w:eastAsia="Times New Roman" w:hAnsi="Tahoma" w:cs="Tahoma"/>
          <w:bCs/>
          <w:color w:val="auto"/>
        </w:rPr>
        <w:t xml:space="preserve"> fueron</w:t>
      </w:r>
      <w:r w:rsidR="00EF1F54">
        <w:rPr>
          <w:rFonts w:ascii="Tahoma" w:eastAsia="Times New Roman" w:hAnsi="Tahoma" w:cs="Tahoma"/>
          <w:bCs/>
          <w:color w:val="auto"/>
        </w:rPr>
        <w:t xml:space="preserve"> Sistema General de Participaciones </w:t>
      </w:r>
      <w:r w:rsidR="007B4958">
        <w:rPr>
          <w:rFonts w:ascii="Tahoma" w:eastAsia="Times New Roman" w:hAnsi="Tahoma" w:cs="Tahoma"/>
          <w:bCs/>
          <w:color w:val="auto"/>
        </w:rPr>
        <w:t xml:space="preserve">con </w:t>
      </w:r>
      <w:r w:rsidR="00EF1F54">
        <w:rPr>
          <w:rFonts w:ascii="Tahoma" w:eastAsia="Times New Roman" w:hAnsi="Tahoma" w:cs="Tahoma"/>
          <w:bCs/>
          <w:color w:val="auto"/>
        </w:rPr>
        <w:t xml:space="preserve">un </w:t>
      </w:r>
      <w:r w:rsidR="005124DB">
        <w:rPr>
          <w:rFonts w:ascii="Tahoma" w:eastAsia="Times New Roman" w:hAnsi="Tahoma" w:cs="Tahoma"/>
          <w:bCs/>
          <w:color w:val="auto"/>
        </w:rPr>
        <w:t>27</w:t>
      </w:r>
      <w:r w:rsidR="00EF1F54">
        <w:rPr>
          <w:rFonts w:ascii="Tahoma" w:eastAsia="Times New Roman" w:hAnsi="Tahoma" w:cs="Tahoma"/>
          <w:bCs/>
          <w:color w:val="auto"/>
        </w:rPr>
        <w:t>%,</w:t>
      </w:r>
      <w:r w:rsidR="005124DB">
        <w:rPr>
          <w:rFonts w:ascii="Tahoma" w:eastAsia="Times New Roman" w:hAnsi="Tahoma" w:cs="Tahoma"/>
          <w:bCs/>
          <w:color w:val="auto"/>
        </w:rPr>
        <w:t xml:space="preserve"> Recursos de Capital 26%</w:t>
      </w:r>
      <w:r w:rsidR="007B4958">
        <w:rPr>
          <w:rFonts w:ascii="Tahoma" w:eastAsia="Times New Roman" w:hAnsi="Tahoma" w:cs="Tahoma"/>
          <w:bCs/>
          <w:color w:val="auto"/>
        </w:rPr>
        <w:t>,</w:t>
      </w:r>
      <w:r w:rsidR="00EF1F54">
        <w:rPr>
          <w:rFonts w:ascii="Tahoma" w:eastAsia="Times New Roman" w:hAnsi="Tahoma" w:cs="Tahoma"/>
          <w:bCs/>
          <w:color w:val="auto"/>
        </w:rPr>
        <w:t xml:space="preserve"> Ingresos Tributarios en un 2</w:t>
      </w:r>
      <w:r w:rsidR="005124DB">
        <w:rPr>
          <w:rFonts w:ascii="Tahoma" w:eastAsia="Times New Roman" w:hAnsi="Tahoma" w:cs="Tahoma"/>
          <w:bCs/>
          <w:color w:val="auto"/>
        </w:rPr>
        <w:t>5</w:t>
      </w:r>
      <w:r w:rsidR="00EF1F54">
        <w:rPr>
          <w:rFonts w:ascii="Tahoma" w:eastAsia="Times New Roman" w:hAnsi="Tahoma" w:cs="Tahoma"/>
          <w:bCs/>
          <w:color w:val="auto"/>
        </w:rPr>
        <w:t xml:space="preserve">%, </w:t>
      </w:r>
      <w:r w:rsidR="005124DB">
        <w:rPr>
          <w:rFonts w:ascii="Tahoma" w:eastAsia="Times New Roman" w:hAnsi="Tahoma" w:cs="Tahoma"/>
          <w:bCs/>
          <w:color w:val="auto"/>
        </w:rPr>
        <w:t xml:space="preserve">Transferencias 20%, </w:t>
      </w:r>
      <w:r w:rsidR="00EF1F54">
        <w:rPr>
          <w:rFonts w:ascii="Tahoma" w:eastAsia="Times New Roman" w:hAnsi="Tahoma" w:cs="Tahoma"/>
          <w:bCs/>
          <w:color w:val="auto"/>
        </w:rPr>
        <w:t xml:space="preserve">Ingresos no Tributarios </w:t>
      </w:r>
      <w:r w:rsidR="005124DB">
        <w:rPr>
          <w:rFonts w:ascii="Tahoma" w:eastAsia="Times New Roman" w:hAnsi="Tahoma" w:cs="Tahoma"/>
          <w:bCs/>
          <w:color w:val="auto"/>
        </w:rPr>
        <w:t>2%.</w:t>
      </w:r>
    </w:p>
    <w:p w:rsidR="005124DB" w:rsidRDefault="00EF1F54" w:rsidP="00256F6A">
      <w:pPr>
        <w:tabs>
          <w:tab w:val="left" w:pos="5667"/>
        </w:tabs>
        <w:spacing w:before="0" w:after="0" w:line="19" w:lineRule="atLeast"/>
        <w:jc w:val="both"/>
        <w:rPr>
          <w:rFonts w:ascii="Tahoma" w:eastAsia="Times New Roman" w:hAnsi="Tahoma" w:cs="Tahoma"/>
          <w:bCs/>
          <w:color w:val="auto"/>
        </w:rPr>
      </w:pPr>
      <w:r>
        <w:rPr>
          <w:rFonts w:ascii="Tahoma" w:eastAsia="Times New Roman" w:hAnsi="Tahoma" w:cs="Tahoma"/>
          <w:bCs/>
          <w:color w:val="auto"/>
        </w:rPr>
        <w:t xml:space="preserve"> </w:t>
      </w:r>
    </w:p>
    <w:p w:rsidR="001C1EA3" w:rsidRDefault="00256F6A" w:rsidP="006F26B2">
      <w:pPr>
        <w:tabs>
          <w:tab w:val="left" w:pos="5667"/>
        </w:tabs>
        <w:spacing w:before="0" w:after="0" w:line="19" w:lineRule="atLeast"/>
        <w:jc w:val="both"/>
        <w:rPr>
          <w:rFonts w:ascii="Tahoma" w:hAnsi="Tahoma" w:cs="Tahoma"/>
          <w:noProof/>
          <w:color w:val="FF0000"/>
        </w:rPr>
      </w:pPr>
      <w:r>
        <w:rPr>
          <w:rFonts w:ascii="Tahoma" w:eastAsia="Times New Roman" w:hAnsi="Tahoma" w:cs="Tahoma"/>
          <w:bCs/>
          <w:color w:val="auto"/>
        </w:rPr>
        <w:t xml:space="preserve"> </w:t>
      </w:r>
      <w:r w:rsidR="001C1EA3">
        <w:rPr>
          <w:rFonts w:ascii="Tahoma" w:hAnsi="Tahoma" w:cs="Tahoma"/>
          <w:noProof/>
          <w:color w:val="FF0000"/>
        </w:rPr>
        <w:drawing>
          <wp:inline distT="0" distB="0" distL="0" distR="0" wp14:anchorId="061DACEA" wp14:editId="3B7F4009">
            <wp:extent cx="5486400" cy="2987040"/>
            <wp:effectExtent l="0" t="0" r="19050" b="22860"/>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073CF" w:rsidRDefault="005073CF" w:rsidP="009848DF">
      <w:pPr>
        <w:tabs>
          <w:tab w:val="left" w:pos="2835"/>
        </w:tabs>
        <w:spacing w:before="0" w:after="0" w:line="19" w:lineRule="atLeast"/>
        <w:jc w:val="both"/>
        <w:rPr>
          <w:rFonts w:ascii="Tahoma" w:hAnsi="Tahoma" w:cs="Tahoma"/>
          <w:noProof/>
          <w:color w:val="auto"/>
        </w:rPr>
      </w:pPr>
    </w:p>
    <w:p w:rsidR="00142A50" w:rsidRDefault="00142A50" w:rsidP="009848DF">
      <w:pPr>
        <w:tabs>
          <w:tab w:val="left" w:pos="2835"/>
        </w:tabs>
        <w:spacing w:before="0" w:after="0" w:line="19" w:lineRule="atLeast"/>
        <w:jc w:val="both"/>
        <w:rPr>
          <w:rFonts w:ascii="Tahoma" w:hAnsi="Tahoma" w:cs="Tahoma"/>
          <w:b/>
          <w:noProof/>
          <w:color w:val="auto"/>
        </w:rPr>
      </w:pPr>
    </w:p>
    <w:p w:rsidR="00142A50" w:rsidRDefault="00142A50" w:rsidP="009848DF">
      <w:pPr>
        <w:tabs>
          <w:tab w:val="left" w:pos="2835"/>
        </w:tabs>
        <w:spacing w:before="0" w:after="0" w:line="19" w:lineRule="atLeast"/>
        <w:jc w:val="both"/>
        <w:rPr>
          <w:rFonts w:ascii="Tahoma" w:hAnsi="Tahoma" w:cs="Tahoma"/>
          <w:b/>
          <w:noProof/>
          <w:color w:val="auto"/>
        </w:rPr>
      </w:pPr>
    </w:p>
    <w:p w:rsidR="00142A50" w:rsidRDefault="00142A50" w:rsidP="009848DF">
      <w:pPr>
        <w:tabs>
          <w:tab w:val="left" w:pos="2835"/>
        </w:tabs>
        <w:spacing w:before="0" w:after="0" w:line="19" w:lineRule="atLeast"/>
        <w:jc w:val="both"/>
        <w:rPr>
          <w:rFonts w:ascii="Tahoma" w:hAnsi="Tahoma" w:cs="Tahoma"/>
          <w:b/>
          <w:noProof/>
          <w:color w:val="auto"/>
        </w:rPr>
      </w:pPr>
    </w:p>
    <w:p w:rsidR="00142A50" w:rsidRDefault="00142A50" w:rsidP="009848DF">
      <w:pPr>
        <w:tabs>
          <w:tab w:val="left" w:pos="2835"/>
        </w:tabs>
        <w:spacing w:before="0" w:after="0" w:line="19" w:lineRule="atLeast"/>
        <w:jc w:val="both"/>
        <w:rPr>
          <w:rFonts w:ascii="Tahoma" w:hAnsi="Tahoma" w:cs="Tahoma"/>
          <w:b/>
          <w:noProof/>
          <w:color w:val="auto"/>
        </w:rPr>
      </w:pPr>
    </w:p>
    <w:p w:rsidR="00142A50" w:rsidRDefault="00142A50" w:rsidP="009848DF">
      <w:pPr>
        <w:tabs>
          <w:tab w:val="left" w:pos="2835"/>
        </w:tabs>
        <w:spacing w:before="0" w:after="0" w:line="19" w:lineRule="atLeast"/>
        <w:jc w:val="both"/>
        <w:rPr>
          <w:rFonts w:ascii="Tahoma" w:hAnsi="Tahoma" w:cs="Tahoma"/>
          <w:b/>
          <w:noProof/>
          <w:color w:val="auto"/>
        </w:rPr>
      </w:pPr>
    </w:p>
    <w:p w:rsidR="00142A50" w:rsidRDefault="00142A50" w:rsidP="009848DF">
      <w:pPr>
        <w:tabs>
          <w:tab w:val="left" w:pos="2835"/>
        </w:tabs>
        <w:spacing w:before="0" w:after="0" w:line="19" w:lineRule="atLeast"/>
        <w:jc w:val="both"/>
        <w:rPr>
          <w:rFonts w:ascii="Tahoma" w:hAnsi="Tahoma" w:cs="Tahoma"/>
          <w:b/>
          <w:noProof/>
          <w:color w:val="auto"/>
        </w:rPr>
      </w:pPr>
    </w:p>
    <w:p w:rsidR="00142A50" w:rsidRDefault="00142A50" w:rsidP="009848DF">
      <w:pPr>
        <w:tabs>
          <w:tab w:val="left" w:pos="2835"/>
        </w:tabs>
        <w:spacing w:before="0" w:after="0" w:line="19" w:lineRule="atLeast"/>
        <w:jc w:val="both"/>
        <w:rPr>
          <w:rFonts w:ascii="Tahoma" w:hAnsi="Tahoma" w:cs="Tahoma"/>
          <w:b/>
          <w:noProof/>
          <w:color w:val="auto"/>
        </w:rPr>
      </w:pPr>
    </w:p>
    <w:p w:rsidR="00142A50" w:rsidRDefault="00142A50" w:rsidP="009848DF">
      <w:pPr>
        <w:tabs>
          <w:tab w:val="left" w:pos="2835"/>
        </w:tabs>
        <w:spacing w:before="0" w:after="0" w:line="19" w:lineRule="atLeast"/>
        <w:jc w:val="both"/>
        <w:rPr>
          <w:rFonts w:ascii="Tahoma" w:hAnsi="Tahoma" w:cs="Tahoma"/>
          <w:b/>
          <w:noProof/>
          <w:color w:val="auto"/>
        </w:rPr>
      </w:pPr>
    </w:p>
    <w:p w:rsidR="00142A50" w:rsidRDefault="00142A50" w:rsidP="009848DF">
      <w:pPr>
        <w:tabs>
          <w:tab w:val="left" w:pos="2835"/>
        </w:tabs>
        <w:spacing w:before="0" w:after="0" w:line="19" w:lineRule="atLeast"/>
        <w:jc w:val="both"/>
        <w:rPr>
          <w:rFonts w:ascii="Tahoma" w:hAnsi="Tahoma" w:cs="Tahoma"/>
          <w:b/>
          <w:noProof/>
          <w:color w:val="auto"/>
        </w:rPr>
      </w:pPr>
    </w:p>
    <w:p w:rsidR="00142A50" w:rsidRDefault="00142A50" w:rsidP="009848DF">
      <w:pPr>
        <w:tabs>
          <w:tab w:val="left" w:pos="2835"/>
        </w:tabs>
        <w:spacing w:before="0" w:after="0" w:line="19" w:lineRule="atLeast"/>
        <w:jc w:val="both"/>
        <w:rPr>
          <w:rFonts w:ascii="Tahoma" w:hAnsi="Tahoma" w:cs="Tahoma"/>
          <w:b/>
          <w:noProof/>
          <w:color w:val="auto"/>
        </w:rPr>
      </w:pPr>
    </w:p>
    <w:p w:rsidR="00142A50" w:rsidRDefault="00142A50" w:rsidP="009848DF">
      <w:pPr>
        <w:tabs>
          <w:tab w:val="left" w:pos="2835"/>
        </w:tabs>
        <w:spacing w:before="0" w:after="0" w:line="19" w:lineRule="atLeast"/>
        <w:jc w:val="both"/>
        <w:rPr>
          <w:rFonts w:ascii="Tahoma" w:hAnsi="Tahoma" w:cs="Tahoma"/>
          <w:b/>
          <w:noProof/>
          <w:color w:val="auto"/>
        </w:rPr>
      </w:pPr>
    </w:p>
    <w:p w:rsidR="00142A50" w:rsidRDefault="00142A50" w:rsidP="009848DF">
      <w:pPr>
        <w:tabs>
          <w:tab w:val="left" w:pos="2835"/>
        </w:tabs>
        <w:spacing w:before="0" w:after="0" w:line="19" w:lineRule="atLeast"/>
        <w:jc w:val="both"/>
        <w:rPr>
          <w:rFonts w:ascii="Tahoma" w:hAnsi="Tahoma" w:cs="Tahoma"/>
          <w:b/>
          <w:noProof/>
          <w:color w:val="auto"/>
        </w:rPr>
      </w:pPr>
    </w:p>
    <w:p w:rsidR="00142A50" w:rsidRDefault="00142A50" w:rsidP="009848DF">
      <w:pPr>
        <w:tabs>
          <w:tab w:val="left" w:pos="2835"/>
        </w:tabs>
        <w:spacing w:before="0" w:after="0" w:line="19" w:lineRule="atLeast"/>
        <w:jc w:val="both"/>
        <w:rPr>
          <w:rFonts w:ascii="Tahoma" w:hAnsi="Tahoma" w:cs="Tahoma"/>
          <w:b/>
          <w:noProof/>
          <w:color w:val="auto"/>
        </w:rPr>
      </w:pPr>
    </w:p>
    <w:p w:rsidR="00142A50" w:rsidRDefault="00142A50" w:rsidP="009848DF">
      <w:pPr>
        <w:tabs>
          <w:tab w:val="left" w:pos="2835"/>
        </w:tabs>
        <w:spacing w:before="0" w:after="0" w:line="19" w:lineRule="atLeast"/>
        <w:jc w:val="both"/>
        <w:rPr>
          <w:rFonts w:ascii="Tahoma" w:hAnsi="Tahoma" w:cs="Tahoma"/>
          <w:b/>
          <w:noProof/>
          <w:color w:val="auto"/>
        </w:rPr>
      </w:pPr>
    </w:p>
    <w:p w:rsidR="00142A50" w:rsidRDefault="00142A50" w:rsidP="009848DF">
      <w:pPr>
        <w:tabs>
          <w:tab w:val="left" w:pos="2835"/>
        </w:tabs>
        <w:spacing w:before="0" w:after="0" w:line="19" w:lineRule="atLeast"/>
        <w:jc w:val="both"/>
        <w:rPr>
          <w:rFonts w:ascii="Tahoma" w:hAnsi="Tahoma" w:cs="Tahoma"/>
          <w:b/>
          <w:noProof/>
          <w:color w:val="auto"/>
        </w:rPr>
      </w:pPr>
    </w:p>
    <w:p w:rsidR="00FB2024" w:rsidRDefault="005073CF" w:rsidP="009848DF">
      <w:pPr>
        <w:tabs>
          <w:tab w:val="left" w:pos="2835"/>
        </w:tabs>
        <w:spacing w:before="0" w:after="0" w:line="19" w:lineRule="atLeast"/>
        <w:jc w:val="both"/>
        <w:rPr>
          <w:rFonts w:ascii="Tahoma" w:hAnsi="Tahoma" w:cs="Tahoma"/>
          <w:b/>
          <w:noProof/>
          <w:color w:val="auto"/>
        </w:rPr>
      </w:pPr>
      <w:r w:rsidRPr="0054263E">
        <w:rPr>
          <w:rFonts w:ascii="Tahoma" w:hAnsi="Tahoma" w:cs="Tahoma"/>
          <w:b/>
          <w:noProof/>
          <w:color w:val="auto"/>
        </w:rPr>
        <w:lastRenderedPageBreak/>
        <w:t>COMPORTAMIENTO DEL RECAUDO:</w:t>
      </w:r>
    </w:p>
    <w:p w:rsidR="00231ECA" w:rsidRPr="0054263E" w:rsidRDefault="00231ECA" w:rsidP="009848DF">
      <w:pPr>
        <w:tabs>
          <w:tab w:val="left" w:pos="2835"/>
        </w:tabs>
        <w:spacing w:before="0" w:after="0" w:line="19" w:lineRule="atLeast"/>
        <w:jc w:val="both"/>
        <w:rPr>
          <w:rFonts w:ascii="Tahoma" w:hAnsi="Tahoma" w:cs="Tahoma"/>
          <w:b/>
          <w:noProof/>
          <w:color w:val="auto"/>
        </w:rPr>
      </w:pPr>
    </w:p>
    <w:p w:rsidR="00915224" w:rsidRDefault="00142A50" w:rsidP="009848DF">
      <w:pPr>
        <w:tabs>
          <w:tab w:val="left" w:pos="2835"/>
        </w:tabs>
        <w:spacing w:before="0" w:after="0" w:line="19" w:lineRule="atLeast"/>
        <w:jc w:val="both"/>
        <w:rPr>
          <w:rFonts w:ascii="Tahoma" w:hAnsi="Tahoma" w:cs="Tahoma"/>
          <w:noProof/>
          <w:color w:val="auto"/>
        </w:rPr>
      </w:pPr>
      <w:r w:rsidRPr="00142A50">
        <w:rPr>
          <w:noProof/>
        </w:rPr>
        <w:drawing>
          <wp:inline distT="0" distB="0" distL="0" distR="0" wp14:anchorId="7B51028F" wp14:editId="6DDC2BBF">
            <wp:extent cx="5612130" cy="4305300"/>
            <wp:effectExtent l="0" t="0" r="7620"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12130" cy="4305300"/>
                    </a:xfrm>
                    <a:prstGeom prst="rect">
                      <a:avLst/>
                    </a:prstGeom>
                  </pic:spPr>
                </pic:pic>
              </a:graphicData>
            </a:graphic>
          </wp:inline>
        </w:drawing>
      </w:r>
    </w:p>
    <w:p w:rsidR="00915224" w:rsidRDefault="00915224" w:rsidP="005073CF">
      <w:pPr>
        <w:tabs>
          <w:tab w:val="left" w:pos="2835"/>
        </w:tabs>
        <w:spacing w:before="0" w:after="0" w:line="19" w:lineRule="atLeast"/>
        <w:jc w:val="both"/>
        <w:rPr>
          <w:rFonts w:ascii="Tahoma" w:hAnsi="Tahoma" w:cs="Tahoma"/>
          <w:noProof/>
          <w:color w:val="auto"/>
        </w:rPr>
      </w:pPr>
    </w:p>
    <w:p w:rsidR="005073CF" w:rsidRDefault="005073CF" w:rsidP="005073CF">
      <w:pPr>
        <w:tabs>
          <w:tab w:val="left" w:pos="2835"/>
        </w:tabs>
        <w:spacing w:before="0" w:after="0" w:line="19" w:lineRule="atLeast"/>
        <w:jc w:val="both"/>
        <w:rPr>
          <w:rFonts w:ascii="Tahoma" w:hAnsi="Tahoma" w:cs="Tahoma"/>
          <w:noProof/>
          <w:color w:val="FF0000"/>
        </w:rPr>
      </w:pPr>
      <w:r>
        <w:rPr>
          <w:rFonts w:ascii="Tahoma" w:hAnsi="Tahoma" w:cs="Tahoma"/>
          <w:noProof/>
          <w:color w:val="auto"/>
        </w:rPr>
        <w:t>E</w:t>
      </w:r>
      <w:r w:rsidRPr="00836C5C">
        <w:rPr>
          <w:rFonts w:ascii="Tahoma" w:hAnsi="Tahoma" w:cs="Tahoma"/>
          <w:noProof/>
          <w:color w:val="auto"/>
        </w:rPr>
        <w:t xml:space="preserve">l presupuesto de ingresos </w:t>
      </w:r>
      <w:r w:rsidR="005E1D3C">
        <w:rPr>
          <w:rFonts w:ascii="Tahoma" w:hAnsi="Tahoma" w:cs="Tahoma"/>
          <w:noProof/>
          <w:color w:val="auto"/>
        </w:rPr>
        <w:t xml:space="preserve">definitivo </w:t>
      </w:r>
      <w:r w:rsidRPr="00836C5C">
        <w:rPr>
          <w:rFonts w:ascii="Tahoma" w:hAnsi="Tahoma" w:cs="Tahoma"/>
          <w:noProof/>
          <w:color w:val="auto"/>
        </w:rPr>
        <w:t xml:space="preserve">del Municipio de </w:t>
      </w:r>
      <w:r w:rsidR="00142A50">
        <w:rPr>
          <w:rFonts w:ascii="Tahoma" w:hAnsi="Tahoma" w:cs="Tahoma"/>
          <w:noProof/>
          <w:color w:val="auto"/>
        </w:rPr>
        <w:t>Honda</w:t>
      </w:r>
      <w:r w:rsidRPr="00836C5C">
        <w:rPr>
          <w:rFonts w:ascii="Tahoma" w:hAnsi="Tahoma" w:cs="Tahoma"/>
          <w:noProof/>
          <w:color w:val="auto"/>
        </w:rPr>
        <w:t xml:space="preserve"> a Diciembre 31 de 2015</w:t>
      </w:r>
      <w:r w:rsidR="005E1D3C">
        <w:rPr>
          <w:rFonts w:ascii="Tahoma" w:hAnsi="Tahoma" w:cs="Tahoma"/>
          <w:noProof/>
          <w:color w:val="auto"/>
        </w:rPr>
        <w:t xml:space="preserve"> fue de $</w:t>
      </w:r>
      <w:r w:rsidR="00142A50">
        <w:rPr>
          <w:rFonts w:ascii="Tahoma" w:hAnsi="Tahoma" w:cs="Tahoma"/>
          <w:noProof/>
          <w:color w:val="auto"/>
        </w:rPr>
        <w:t>31.552.512.894</w:t>
      </w:r>
      <w:r w:rsidR="00915224">
        <w:rPr>
          <w:rFonts w:ascii="Tahoma" w:hAnsi="Tahoma" w:cs="Tahoma"/>
          <w:noProof/>
          <w:color w:val="auto"/>
        </w:rPr>
        <w:t>.</w:t>
      </w:r>
      <w:r w:rsidR="005E1D3C">
        <w:rPr>
          <w:rFonts w:ascii="Tahoma" w:hAnsi="Tahoma" w:cs="Tahoma"/>
          <w:noProof/>
          <w:color w:val="auto"/>
        </w:rPr>
        <w:t xml:space="preserve">oo, de los cuales recaudó la suma de </w:t>
      </w:r>
      <w:r w:rsidR="005E1D3C" w:rsidRPr="00767FB9">
        <w:rPr>
          <w:rFonts w:ascii="Tahoma" w:hAnsi="Tahoma" w:cs="Tahoma"/>
          <w:noProof/>
          <w:color w:val="auto"/>
        </w:rPr>
        <w:t>$</w:t>
      </w:r>
      <w:r w:rsidR="00142A50">
        <w:rPr>
          <w:rFonts w:ascii="Tahoma" w:hAnsi="Tahoma" w:cs="Tahoma"/>
          <w:noProof/>
          <w:color w:val="auto"/>
        </w:rPr>
        <w:t>23.626.003.787</w:t>
      </w:r>
      <w:r w:rsidR="005E1D3C" w:rsidRPr="00767FB9">
        <w:rPr>
          <w:rFonts w:ascii="Tahoma" w:hAnsi="Tahoma" w:cs="Tahoma"/>
          <w:noProof/>
          <w:color w:val="auto"/>
        </w:rPr>
        <w:t>,</w:t>
      </w:r>
      <w:r w:rsidR="005E1D3C">
        <w:rPr>
          <w:rFonts w:ascii="Tahoma" w:hAnsi="Tahoma" w:cs="Tahoma"/>
          <w:noProof/>
          <w:color w:val="auto"/>
        </w:rPr>
        <w:t xml:space="preserve">oo equivalentes al </w:t>
      </w:r>
      <w:r w:rsidR="00142A50">
        <w:rPr>
          <w:rFonts w:ascii="Tahoma" w:hAnsi="Tahoma" w:cs="Tahoma"/>
          <w:noProof/>
          <w:color w:val="auto"/>
        </w:rPr>
        <w:t>75</w:t>
      </w:r>
      <w:r w:rsidR="005E1D3C">
        <w:rPr>
          <w:rFonts w:ascii="Tahoma" w:hAnsi="Tahoma" w:cs="Tahoma"/>
          <w:noProof/>
          <w:color w:val="auto"/>
        </w:rPr>
        <w:t>%</w:t>
      </w:r>
      <w:r>
        <w:rPr>
          <w:rFonts w:ascii="Tahoma" w:hAnsi="Tahoma" w:cs="Tahoma"/>
          <w:noProof/>
          <w:color w:val="auto"/>
        </w:rPr>
        <w:t xml:space="preserve">.  De lo anterior se evidenció </w:t>
      </w:r>
      <w:r>
        <w:rPr>
          <w:rFonts w:ascii="Tahoma" w:hAnsi="Tahoma" w:cs="Tahoma"/>
        </w:rPr>
        <w:t xml:space="preserve">que el Municipio de </w:t>
      </w:r>
      <w:r w:rsidR="00142A50">
        <w:rPr>
          <w:rFonts w:ascii="Tahoma" w:hAnsi="Tahoma" w:cs="Tahoma"/>
        </w:rPr>
        <w:t>Honda</w:t>
      </w:r>
      <w:r>
        <w:rPr>
          <w:rFonts w:ascii="Tahoma" w:hAnsi="Tahoma" w:cs="Tahoma"/>
        </w:rPr>
        <w:t xml:space="preserve"> </w:t>
      </w:r>
      <w:r w:rsidR="000448FA">
        <w:rPr>
          <w:rFonts w:ascii="Tahoma" w:hAnsi="Tahoma" w:cs="Tahoma"/>
        </w:rPr>
        <w:t>no cumplió con la meta del Recaudo, toda vez que quedó pendiente</w:t>
      </w:r>
      <w:r w:rsidR="00B33ABA">
        <w:rPr>
          <w:rFonts w:ascii="Tahoma" w:hAnsi="Tahoma" w:cs="Tahoma"/>
        </w:rPr>
        <w:t xml:space="preserve"> por recaudar la suma de $</w:t>
      </w:r>
      <w:r w:rsidR="00142A50">
        <w:rPr>
          <w:rFonts w:ascii="Tahoma" w:hAnsi="Tahoma" w:cs="Tahoma"/>
        </w:rPr>
        <w:t>7.926</w:t>
      </w:r>
      <w:r w:rsidR="00B33ABA">
        <w:rPr>
          <w:rFonts w:ascii="Tahoma" w:hAnsi="Tahoma" w:cs="Tahoma"/>
        </w:rPr>
        <w:t xml:space="preserve"> millones</w:t>
      </w:r>
      <w:r w:rsidR="000448FA">
        <w:rPr>
          <w:rFonts w:ascii="Tahoma" w:hAnsi="Tahoma" w:cs="Tahoma"/>
        </w:rPr>
        <w:t xml:space="preserve">, es decir el </w:t>
      </w:r>
      <w:r w:rsidR="00142A50">
        <w:rPr>
          <w:rFonts w:ascii="Tahoma" w:hAnsi="Tahoma" w:cs="Tahoma"/>
        </w:rPr>
        <w:t>25</w:t>
      </w:r>
      <w:r w:rsidR="000448FA">
        <w:rPr>
          <w:rFonts w:ascii="Tahoma" w:hAnsi="Tahoma" w:cs="Tahoma"/>
        </w:rPr>
        <w:t>%, correspondiente</w:t>
      </w:r>
      <w:r w:rsidR="00767FB9">
        <w:rPr>
          <w:rFonts w:ascii="Tahoma" w:hAnsi="Tahoma" w:cs="Tahoma"/>
        </w:rPr>
        <w:t>s al impuesto Predial, Industria y comercio</w:t>
      </w:r>
      <w:r w:rsidR="00142A50">
        <w:rPr>
          <w:rFonts w:ascii="Tahoma" w:hAnsi="Tahoma" w:cs="Tahoma"/>
        </w:rPr>
        <w:t xml:space="preserve"> vigencias expiradas,</w:t>
      </w:r>
      <w:r w:rsidR="00767FB9">
        <w:rPr>
          <w:rFonts w:ascii="Tahoma" w:hAnsi="Tahoma" w:cs="Tahoma"/>
        </w:rPr>
        <w:t xml:space="preserve"> Avisos y Tableros, </w:t>
      </w:r>
      <w:r w:rsidR="00142A50">
        <w:rPr>
          <w:rFonts w:ascii="Tahoma" w:hAnsi="Tahoma" w:cs="Tahoma"/>
        </w:rPr>
        <w:t xml:space="preserve">delineación y urbanismo, Sobretasa a la Gasolina, </w:t>
      </w:r>
      <w:r w:rsidR="00D9135C">
        <w:rPr>
          <w:rFonts w:ascii="Tahoma" w:hAnsi="Tahoma" w:cs="Tahoma"/>
        </w:rPr>
        <w:t>Transferencias entre otras</w:t>
      </w:r>
      <w:r w:rsidR="00767FB9">
        <w:rPr>
          <w:rFonts w:ascii="Tahoma" w:hAnsi="Tahoma" w:cs="Tahoma"/>
        </w:rPr>
        <w:t xml:space="preserve">, evidenciándose con ello </w:t>
      </w:r>
      <w:r w:rsidR="000448FA">
        <w:rPr>
          <w:rFonts w:ascii="Tahoma" w:hAnsi="Tahoma" w:cs="Tahoma"/>
        </w:rPr>
        <w:t>la falta de gestión para el recaudo</w:t>
      </w:r>
      <w:r w:rsidR="00950A8A">
        <w:rPr>
          <w:rFonts w:ascii="Tahoma" w:hAnsi="Tahoma" w:cs="Tahoma"/>
        </w:rPr>
        <w:t xml:space="preserve">. </w:t>
      </w:r>
    </w:p>
    <w:p w:rsidR="005073CF" w:rsidRDefault="005073CF" w:rsidP="00471A9A">
      <w:pPr>
        <w:tabs>
          <w:tab w:val="left" w:pos="3924"/>
        </w:tabs>
        <w:jc w:val="center"/>
        <w:rPr>
          <w:rFonts w:ascii="Tahoma" w:hAnsi="Tahoma" w:cs="Tahoma"/>
        </w:rPr>
      </w:pPr>
    </w:p>
    <w:p w:rsidR="007B4958" w:rsidRDefault="007B4958" w:rsidP="00EE40F7">
      <w:pPr>
        <w:pStyle w:val="Prrafodelista"/>
        <w:spacing w:before="0" w:after="0" w:line="19" w:lineRule="atLeast"/>
        <w:ind w:left="1080"/>
        <w:rPr>
          <w:rFonts w:ascii="Tahoma" w:hAnsi="Tahoma" w:cs="Tahoma"/>
          <w:b/>
        </w:rPr>
      </w:pPr>
    </w:p>
    <w:p w:rsidR="007B4958" w:rsidRDefault="007B4958" w:rsidP="00EE40F7">
      <w:pPr>
        <w:pStyle w:val="Prrafodelista"/>
        <w:spacing w:before="0" w:after="0" w:line="19" w:lineRule="atLeast"/>
        <w:ind w:left="1080"/>
        <w:rPr>
          <w:rFonts w:ascii="Tahoma" w:hAnsi="Tahoma" w:cs="Tahoma"/>
          <w:b/>
        </w:rPr>
      </w:pPr>
    </w:p>
    <w:p w:rsidR="007B4958" w:rsidRDefault="007B4958" w:rsidP="00EE40F7">
      <w:pPr>
        <w:pStyle w:val="Prrafodelista"/>
        <w:spacing w:before="0" w:after="0" w:line="19" w:lineRule="atLeast"/>
        <w:ind w:left="1080"/>
        <w:rPr>
          <w:rFonts w:ascii="Tahoma" w:hAnsi="Tahoma" w:cs="Tahoma"/>
          <w:b/>
        </w:rPr>
      </w:pPr>
    </w:p>
    <w:p w:rsidR="00D27BCA" w:rsidRPr="00EE40F7" w:rsidRDefault="00EE40F7" w:rsidP="00EE40F7">
      <w:pPr>
        <w:pStyle w:val="Prrafodelista"/>
        <w:spacing w:before="0" w:after="0" w:line="19" w:lineRule="atLeast"/>
        <w:ind w:left="1080"/>
        <w:rPr>
          <w:rFonts w:ascii="Tahoma" w:hAnsi="Tahoma" w:cs="Tahoma"/>
          <w:b/>
        </w:rPr>
      </w:pPr>
      <w:r>
        <w:rPr>
          <w:rFonts w:ascii="Tahoma" w:hAnsi="Tahoma" w:cs="Tahoma"/>
          <w:b/>
        </w:rPr>
        <w:lastRenderedPageBreak/>
        <w:t xml:space="preserve">2.2   </w:t>
      </w:r>
      <w:r w:rsidR="00D27BCA" w:rsidRPr="00EE40F7">
        <w:rPr>
          <w:rFonts w:ascii="Tahoma" w:hAnsi="Tahoma" w:cs="Tahoma"/>
          <w:b/>
        </w:rPr>
        <w:t>ANALISIS A LA EJECUCION  PRESUPUESTAL DE  GASTOS</w:t>
      </w:r>
    </w:p>
    <w:p w:rsidR="007B4958" w:rsidRDefault="007B4958" w:rsidP="00682367">
      <w:pPr>
        <w:tabs>
          <w:tab w:val="left" w:pos="2835"/>
        </w:tabs>
        <w:spacing w:before="0" w:after="0" w:line="19" w:lineRule="atLeast"/>
        <w:jc w:val="both"/>
        <w:rPr>
          <w:rFonts w:ascii="Tahoma" w:hAnsi="Tahoma" w:cs="Tahoma"/>
        </w:rPr>
      </w:pPr>
    </w:p>
    <w:p w:rsidR="00682367" w:rsidRPr="005A5389" w:rsidRDefault="00682367" w:rsidP="00682367">
      <w:pPr>
        <w:tabs>
          <w:tab w:val="left" w:pos="2835"/>
        </w:tabs>
        <w:spacing w:before="0" w:after="0" w:line="19" w:lineRule="atLeast"/>
        <w:jc w:val="both"/>
        <w:rPr>
          <w:rFonts w:ascii="Tahoma" w:eastAsia="Times New Roman" w:hAnsi="Tahoma" w:cs="Tahoma"/>
          <w:bCs/>
          <w:color w:val="auto"/>
        </w:rPr>
      </w:pPr>
      <w:r w:rsidRPr="005540CE">
        <w:rPr>
          <w:rFonts w:ascii="Tahoma" w:hAnsi="Tahoma" w:cs="Tahoma"/>
        </w:rPr>
        <w:t xml:space="preserve">El presupuesto </w:t>
      </w:r>
      <w:r>
        <w:rPr>
          <w:rFonts w:ascii="Tahoma" w:hAnsi="Tahoma" w:cs="Tahoma"/>
        </w:rPr>
        <w:t xml:space="preserve">de </w:t>
      </w:r>
      <w:r w:rsidR="00950A8A">
        <w:rPr>
          <w:rFonts w:ascii="Tahoma" w:hAnsi="Tahoma" w:cs="Tahoma"/>
        </w:rPr>
        <w:t>Gastos</w:t>
      </w:r>
      <w:r>
        <w:rPr>
          <w:rFonts w:ascii="Tahoma" w:hAnsi="Tahoma" w:cs="Tahoma"/>
        </w:rPr>
        <w:t xml:space="preserve"> del Municipio de </w:t>
      </w:r>
      <w:r w:rsidR="007B4958">
        <w:rPr>
          <w:rFonts w:ascii="Tahoma" w:hAnsi="Tahoma" w:cs="Tahoma"/>
        </w:rPr>
        <w:t>Honda</w:t>
      </w:r>
      <w:r>
        <w:rPr>
          <w:rFonts w:ascii="Tahoma" w:hAnsi="Tahoma" w:cs="Tahoma"/>
        </w:rPr>
        <w:t xml:space="preserve"> para la vigencia fiscal 2015 fue aprobado en la cuantía </w:t>
      </w:r>
      <w:r w:rsidRPr="00E85A59">
        <w:rPr>
          <w:rFonts w:ascii="Tahoma" w:hAnsi="Tahoma" w:cs="Tahoma"/>
        </w:rPr>
        <w:t xml:space="preserve">de </w:t>
      </w:r>
      <w:r w:rsidRPr="00E85A59">
        <w:rPr>
          <w:rFonts w:ascii="Tahoma" w:hAnsi="Tahoma" w:cs="Tahoma"/>
          <w:b/>
          <w:color w:val="auto"/>
        </w:rPr>
        <w:t>$1</w:t>
      </w:r>
      <w:r w:rsidR="005A5389">
        <w:rPr>
          <w:rFonts w:ascii="Tahoma" w:hAnsi="Tahoma" w:cs="Tahoma"/>
          <w:b/>
          <w:color w:val="auto"/>
        </w:rPr>
        <w:t>1.326.608.066.</w:t>
      </w:r>
      <w:r w:rsidRPr="00E85A59">
        <w:rPr>
          <w:rFonts w:ascii="Tahoma" w:hAnsi="Tahoma" w:cs="Tahoma"/>
          <w:b/>
          <w:color w:val="auto"/>
        </w:rPr>
        <w:t>oo,</w:t>
      </w:r>
      <w:r w:rsidR="00950A8A" w:rsidRPr="00E85A59">
        <w:rPr>
          <w:rFonts w:ascii="Tahoma" w:hAnsi="Tahoma" w:cs="Tahoma"/>
          <w:b/>
          <w:color w:val="auto"/>
        </w:rPr>
        <w:t xml:space="preserve"> </w:t>
      </w:r>
      <w:r w:rsidR="00950A8A" w:rsidRPr="00E85A59">
        <w:rPr>
          <w:rFonts w:ascii="Tahoma" w:hAnsi="Tahoma" w:cs="Tahoma"/>
          <w:color w:val="auto"/>
        </w:rPr>
        <w:t>presentó</w:t>
      </w:r>
      <w:r>
        <w:rPr>
          <w:rFonts w:ascii="Tahoma" w:hAnsi="Tahoma" w:cs="Tahoma"/>
          <w:b/>
          <w:color w:val="auto"/>
        </w:rPr>
        <w:t xml:space="preserve"> </w:t>
      </w:r>
      <w:r w:rsidRPr="00DA6502">
        <w:rPr>
          <w:rFonts w:ascii="Tahoma" w:hAnsi="Tahoma" w:cs="Tahoma"/>
          <w:color w:val="auto"/>
        </w:rPr>
        <w:t>adiciones</w:t>
      </w:r>
      <w:r>
        <w:rPr>
          <w:rFonts w:ascii="Tahoma" w:hAnsi="Tahoma" w:cs="Tahoma"/>
          <w:color w:val="auto"/>
        </w:rPr>
        <w:t xml:space="preserve"> presupuestales por</w:t>
      </w:r>
      <w:r w:rsidRPr="00DA6502">
        <w:rPr>
          <w:rFonts w:ascii="Tahoma" w:hAnsi="Tahoma" w:cs="Tahoma"/>
          <w:color w:val="auto"/>
        </w:rPr>
        <w:t xml:space="preserve"> $</w:t>
      </w:r>
      <w:r w:rsidR="005A5389">
        <w:rPr>
          <w:rFonts w:ascii="Tahoma" w:hAnsi="Tahoma" w:cs="Tahoma"/>
          <w:color w:val="auto"/>
        </w:rPr>
        <w:t>20.225.904.828.86</w:t>
      </w:r>
      <w:r>
        <w:rPr>
          <w:rFonts w:ascii="Tahoma" w:eastAsia="Times New Roman" w:hAnsi="Tahoma" w:cs="Tahoma"/>
          <w:bCs/>
          <w:color w:val="auto"/>
        </w:rPr>
        <w:t>, para un presupuesto definitivo a Diciembre 31 de 2015 de $</w:t>
      </w:r>
      <w:r w:rsidR="005A5389">
        <w:rPr>
          <w:rFonts w:ascii="Tahoma" w:eastAsia="Times New Roman" w:hAnsi="Tahoma" w:cs="Tahoma"/>
          <w:bCs/>
          <w:color w:val="auto"/>
        </w:rPr>
        <w:t>31.552.512.894.86</w:t>
      </w:r>
      <w:r>
        <w:rPr>
          <w:rFonts w:ascii="Tahoma" w:eastAsia="Times New Roman" w:hAnsi="Tahoma" w:cs="Tahoma"/>
          <w:b/>
          <w:bCs/>
          <w:color w:val="auto"/>
        </w:rPr>
        <w:t>.</w:t>
      </w:r>
      <w:r w:rsidRPr="005A5389">
        <w:rPr>
          <w:rFonts w:ascii="Tahoma" w:eastAsia="Times New Roman" w:hAnsi="Tahoma" w:cs="Tahoma"/>
          <w:bCs/>
          <w:color w:val="auto"/>
        </w:rPr>
        <w:t>oo.</w:t>
      </w:r>
    </w:p>
    <w:p w:rsidR="00231ECA" w:rsidRDefault="00231ECA" w:rsidP="00682367">
      <w:pPr>
        <w:tabs>
          <w:tab w:val="left" w:pos="2835"/>
        </w:tabs>
        <w:spacing w:before="0" w:after="0" w:line="19" w:lineRule="atLeast"/>
        <w:jc w:val="both"/>
        <w:rPr>
          <w:rFonts w:ascii="Tahoma" w:eastAsia="Times New Roman" w:hAnsi="Tahoma" w:cs="Tahoma"/>
          <w:b/>
          <w:bCs/>
          <w:color w:val="auto"/>
        </w:rPr>
      </w:pPr>
    </w:p>
    <w:p w:rsidR="00682367" w:rsidRDefault="00682367" w:rsidP="00682367">
      <w:pPr>
        <w:tabs>
          <w:tab w:val="left" w:pos="2835"/>
        </w:tabs>
        <w:spacing w:before="0" w:after="0" w:line="19" w:lineRule="atLeast"/>
        <w:jc w:val="both"/>
        <w:rPr>
          <w:rFonts w:ascii="Tahoma" w:eastAsia="Times New Roman" w:hAnsi="Tahoma" w:cs="Tahoma"/>
          <w:b/>
          <w:bCs/>
          <w:color w:val="auto"/>
        </w:rPr>
      </w:pPr>
    </w:p>
    <w:tbl>
      <w:tblPr>
        <w:tblStyle w:val="Tablaconcuadrcula"/>
        <w:tblW w:w="0" w:type="auto"/>
        <w:tblLook w:val="04A0" w:firstRow="1" w:lastRow="0" w:firstColumn="1" w:lastColumn="0" w:noHBand="0" w:noVBand="1"/>
      </w:tblPr>
      <w:tblGrid>
        <w:gridCol w:w="2230"/>
        <w:gridCol w:w="2164"/>
        <w:gridCol w:w="2112"/>
        <w:gridCol w:w="2550"/>
      </w:tblGrid>
      <w:tr w:rsidR="005A5389" w:rsidRPr="00BA1DE4" w:rsidTr="00B24C81">
        <w:tc>
          <w:tcPr>
            <w:tcW w:w="2245" w:type="dxa"/>
          </w:tcPr>
          <w:p w:rsidR="005A5389" w:rsidRPr="00BA1DE4" w:rsidRDefault="005A5389" w:rsidP="00D31C43">
            <w:pPr>
              <w:tabs>
                <w:tab w:val="left" w:pos="2835"/>
              </w:tabs>
              <w:spacing w:before="0" w:line="19" w:lineRule="atLeast"/>
              <w:jc w:val="center"/>
              <w:rPr>
                <w:rFonts w:ascii="Tahoma" w:eastAsia="Times New Roman" w:hAnsi="Tahoma" w:cs="Tahoma"/>
                <w:bCs/>
                <w:color w:val="auto"/>
                <w:sz w:val="18"/>
                <w:szCs w:val="18"/>
              </w:rPr>
            </w:pPr>
            <w:r w:rsidRPr="00BA1DE4">
              <w:rPr>
                <w:rFonts w:ascii="Tahoma" w:eastAsia="Times New Roman" w:hAnsi="Tahoma" w:cs="Tahoma"/>
                <w:bCs/>
                <w:color w:val="auto"/>
                <w:sz w:val="18"/>
                <w:szCs w:val="18"/>
              </w:rPr>
              <w:t>PRESUPUESTO INICIAL</w:t>
            </w:r>
          </w:p>
        </w:tc>
        <w:tc>
          <w:tcPr>
            <w:tcW w:w="1832" w:type="dxa"/>
          </w:tcPr>
          <w:p w:rsidR="005A5389" w:rsidRPr="00BA1DE4" w:rsidRDefault="005A5389" w:rsidP="00D31C43">
            <w:pPr>
              <w:tabs>
                <w:tab w:val="left" w:pos="2835"/>
              </w:tabs>
              <w:spacing w:before="0" w:line="19" w:lineRule="atLeast"/>
              <w:jc w:val="center"/>
              <w:rPr>
                <w:rFonts w:ascii="Tahoma" w:eastAsia="Times New Roman" w:hAnsi="Tahoma" w:cs="Tahoma"/>
                <w:bCs/>
                <w:color w:val="auto"/>
                <w:sz w:val="18"/>
                <w:szCs w:val="18"/>
              </w:rPr>
            </w:pPr>
            <w:r w:rsidRPr="00BA1DE4">
              <w:rPr>
                <w:rFonts w:ascii="Tahoma" w:eastAsia="Times New Roman" w:hAnsi="Tahoma" w:cs="Tahoma"/>
                <w:bCs/>
                <w:color w:val="auto"/>
                <w:sz w:val="18"/>
                <w:szCs w:val="18"/>
              </w:rPr>
              <w:t>ADICIONES</w:t>
            </w:r>
          </w:p>
        </w:tc>
        <w:tc>
          <w:tcPr>
            <w:tcW w:w="2268" w:type="dxa"/>
          </w:tcPr>
          <w:p w:rsidR="005A5389" w:rsidRPr="00BA1DE4" w:rsidRDefault="005A5389" w:rsidP="00D31C43">
            <w:pPr>
              <w:tabs>
                <w:tab w:val="left" w:pos="2835"/>
              </w:tabs>
              <w:spacing w:before="0" w:line="19" w:lineRule="atLeast"/>
              <w:jc w:val="center"/>
              <w:rPr>
                <w:rFonts w:ascii="Tahoma" w:eastAsia="Times New Roman" w:hAnsi="Tahoma" w:cs="Tahoma"/>
                <w:bCs/>
                <w:color w:val="auto"/>
                <w:sz w:val="18"/>
                <w:szCs w:val="18"/>
              </w:rPr>
            </w:pPr>
            <w:r w:rsidRPr="00BA1DE4">
              <w:rPr>
                <w:rFonts w:ascii="Tahoma" w:eastAsia="Times New Roman" w:hAnsi="Tahoma" w:cs="Tahoma"/>
                <w:bCs/>
                <w:color w:val="auto"/>
                <w:sz w:val="18"/>
                <w:szCs w:val="18"/>
              </w:rPr>
              <w:t>REDUCCIONES</w:t>
            </w:r>
          </w:p>
        </w:tc>
        <w:tc>
          <w:tcPr>
            <w:tcW w:w="2635" w:type="dxa"/>
          </w:tcPr>
          <w:p w:rsidR="005A5389" w:rsidRPr="00BA1DE4" w:rsidRDefault="005A5389" w:rsidP="00D31C43">
            <w:pPr>
              <w:tabs>
                <w:tab w:val="left" w:pos="2835"/>
              </w:tabs>
              <w:spacing w:before="0" w:line="19" w:lineRule="atLeast"/>
              <w:jc w:val="center"/>
              <w:rPr>
                <w:rFonts w:ascii="Tahoma" w:eastAsia="Times New Roman" w:hAnsi="Tahoma" w:cs="Tahoma"/>
                <w:bCs/>
                <w:color w:val="auto"/>
                <w:sz w:val="18"/>
                <w:szCs w:val="18"/>
              </w:rPr>
            </w:pPr>
            <w:r w:rsidRPr="00BA1DE4">
              <w:rPr>
                <w:rFonts w:ascii="Tahoma" w:eastAsia="Times New Roman" w:hAnsi="Tahoma" w:cs="Tahoma"/>
                <w:bCs/>
                <w:color w:val="auto"/>
                <w:sz w:val="18"/>
                <w:szCs w:val="18"/>
              </w:rPr>
              <w:t>PRESUPUESTO DEFINITIVO</w:t>
            </w:r>
          </w:p>
        </w:tc>
      </w:tr>
      <w:tr w:rsidR="005A5389" w:rsidRPr="00BA1DE4" w:rsidTr="00B24C81">
        <w:tc>
          <w:tcPr>
            <w:tcW w:w="2245" w:type="dxa"/>
          </w:tcPr>
          <w:p w:rsidR="005A5389" w:rsidRPr="009F5AC9" w:rsidRDefault="005A5389" w:rsidP="00D31C43">
            <w:pPr>
              <w:tabs>
                <w:tab w:val="left" w:pos="2835"/>
              </w:tabs>
              <w:spacing w:before="0" w:line="19" w:lineRule="atLeast"/>
              <w:jc w:val="right"/>
              <w:rPr>
                <w:rFonts w:ascii="Tahoma" w:eastAsia="Times New Roman" w:hAnsi="Tahoma" w:cs="Tahoma"/>
                <w:bCs/>
                <w:color w:val="auto"/>
                <w:sz w:val="28"/>
                <w:szCs w:val="28"/>
                <w:vertAlign w:val="subscript"/>
              </w:rPr>
            </w:pPr>
            <w:r w:rsidRPr="009F5AC9">
              <w:rPr>
                <w:rFonts w:ascii="Tahoma" w:hAnsi="Tahoma" w:cs="Tahoma"/>
              </w:rPr>
              <w:t>$</w:t>
            </w:r>
            <w:r w:rsidRPr="009F5AC9">
              <w:rPr>
                <w:rFonts w:ascii="Tahoma" w:hAnsi="Tahoma" w:cs="Tahoma"/>
                <w:color w:val="auto"/>
              </w:rPr>
              <w:t>11.326.608.066.oo</w:t>
            </w:r>
          </w:p>
        </w:tc>
        <w:tc>
          <w:tcPr>
            <w:tcW w:w="1832" w:type="dxa"/>
          </w:tcPr>
          <w:p w:rsidR="005A5389" w:rsidRPr="009F5AC9" w:rsidRDefault="005A5389" w:rsidP="00D31C43">
            <w:pPr>
              <w:tabs>
                <w:tab w:val="left" w:pos="2835"/>
              </w:tabs>
              <w:spacing w:before="0" w:line="19" w:lineRule="atLeast"/>
              <w:jc w:val="right"/>
              <w:rPr>
                <w:rFonts w:ascii="Tahoma" w:eastAsia="Times New Roman" w:hAnsi="Tahoma" w:cs="Tahoma"/>
                <w:bCs/>
                <w:color w:val="auto"/>
                <w:sz w:val="28"/>
                <w:szCs w:val="28"/>
                <w:vertAlign w:val="subscript"/>
              </w:rPr>
            </w:pPr>
            <w:r w:rsidRPr="009F5AC9">
              <w:rPr>
                <w:rFonts w:ascii="Tahoma" w:hAnsi="Tahoma" w:cs="Tahoma"/>
                <w:color w:val="auto"/>
              </w:rPr>
              <w:t>$20.225.904.828.86</w:t>
            </w:r>
          </w:p>
        </w:tc>
        <w:tc>
          <w:tcPr>
            <w:tcW w:w="2268" w:type="dxa"/>
          </w:tcPr>
          <w:p w:rsidR="005A5389" w:rsidRPr="009F5AC9" w:rsidRDefault="005A5389" w:rsidP="00D31C43">
            <w:pPr>
              <w:tabs>
                <w:tab w:val="left" w:pos="2835"/>
              </w:tabs>
              <w:spacing w:before="0" w:line="19" w:lineRule="atLeast"/>
              <w:jc w:val="center"/>
              <w:rPr>
                <w:rFonts w:ascii="Tahoma" w:eastAsia="Times New Roman" w:hAnsi="Tahoma" w:cs="Tahoma"/>
                <w:bCs/>
                <w:color w:val="auto"/>
                <w:sz w:val="28"/>
                <w:szCs w:val="28"/>
                <w:vertAlign w:val="subscript"/>
              </w:rPr>
            </w:pPr>
            <w:r w:rsidRPr="009F5AC9">
              <w:rPr>
                <w:rFonts w:ascii="Tahoma" w:eastAsia="Times New Roman" w:hAnsi="Tahoma" w:cs="Tahoma"/>
                <w:bCs/>
                <w:color w:val="auto"/>
                <w:sz w:val="28"/>
                <w:szCs w:val="28"/>
                <w:vertAlign w:val="subscript"/>
              </w:rPr>
              <w:t>0</w:t>
            </w:r>
          </w:p>
        </w:tc>
        <w:tc>
          <w:tcPr>
            <w:tcW w:w="2635" w:type="dxa"/>
          </w:tcPr>
          <w:p w:rsidR="005A5389" w:rsidRPr="009F5AC9" w:rsidRDefault="005A5389" w:rsidP="00D31C43">
            <w:pPr>
              <w:tabs>
                <w:tab w:val="left" w:pos="2835"/>
              </w:tabs>
              <w:spacing w:before="0" w:line="19" w:lineRule="atLeast"/>
              <w:jc w:val="right"/>
              <w:rPr>
                <w:rFonts w:ascii="Tahoma" w:eastAsia="Times New Roman" w:hAnsi="Tahoma" w:cs="Tahoma"/>
                <w:bCs/>
                <w:color w:val="auto"/>
                <w:sz w:val="28"/>
                <w:szCs w:val="28"/>
                <w:vertAlign w:val="subscript"/>
              </w:rPr>
            </w:pPr>
            <w:r w:rsidRPr="009F5AC9">
              <w:rPr>
                <w:rFonts w:ascii="Tahoma" w:eastAsia="Times New Roman" w:hAnsi="Tahoma" w:cs="Tahoma"/>
                <w:bCs/>
                <w:color w:val="auto"/>
              </w:rPr>
              <w:t>$31.552.512.894.86</w:t>
            </w:r>
          </w:p>
        </w:tc>
      </w:tr>
    </w:tbl>
    <w:p w:rsidR="00682367" w:rsidRDefault="00682367" w:rsidP="00C142B1">
      <w:pPr>
        <w:spacing w:before="0" w:after="0"/>
        <w:jc w:val="both"/>
        <w:rPr>
          <w:rFonts w:ascii="Tahoma" w:hAnsi="Tahoma" w:cs="Tahoma"/>
          <w:szCs w:val="24"/>
        </w:rPr>
      </w:pPr>
    </w:p>
    <w:p w:rsidR="00231ECA" w:rsidRDefault="00231ECA" w:rsidP="00C142B1">
      <w:pPr>
        <w:spacing w:before="0" w:after="0"/>
        <w:jc w:val="both"/>
        <w:rPr>
          <w:rFonts w:ascii="Tahoma" w:hAnsi="Tahoma" w:cs="Tahoma"/>
          <w:szCs w:val="24"/>
        </w:rPr>
      </w:pPr>
    </w:p>
    <w:p w:rsidR="00C32B9A" w:rsidRDefault="00C32B9A" w:rsidP="00C32B9A">
      <w:pPr>
        <w:spacing w:before="0" w:after="0"/>
        <w:rPr>
          <w:rFonts w:ascii="Tahoma" w:hAnsi="Tahoma" w:cs="Tahoma"/>
          <w:b/>
          <w:bCs/>
        </w:rPr>
      </w:pPr>
      <w:r w:rsidRPr="005A1AE4">
        <w:rPr>
          <w:rFonts w:ascii="Tahoma" w:hAnsi="Tahoma" w:cs="Tahoma"/>
          <w:b/>
          <w:bCs/>
        </w:rPr>
        <w:t xml:space="preserve">PRESUPUESTO INICIAL    </w:t>
      </w:r>
      <w:r w:rsidR="00F11ED6">
        <w:rPr>
          <w:rFonts w:ascii="Tahoma" w:hAnsi="Tahoma" w:cs="Tahoma"/>
          <w:b/>
          <w:bCs/>
        </w:rPr>
        <w:t xml:space="preserve"> </w:t>
      </w:r>
    </w:p>
    <w:p w:rsidR="00C32B9A" w:rsidRPr="002510E7" w:rsidRDefault="00C32B9A" w:rsidP="00C32B9A">
      <w:pPr>
        <w:spacing w:before="0" w:after="0"/>
        <w:rPr>
          <w:rFonts w:ascii="Tahoma" w:hAnsi="Tahoma" w:cs="Tahoma"/>
          <w:b/>
          <w:bCs/>
          <w:sz w:val="16"/>
        </w:rPr>
      </w:pPr>
    </w:p>
    <w:p w:rsidR="00C32B9A" w:rsidRDefault="00C32B9A" w:rsidP="00C32B9A">
      <w:pPr>
        <w:spacing w:before="0" w:after="0"/>
        <w:jc w:val="both"/>
        <w:rPr>
          <w:rFonts w:ascii="Tahoma" w:hAnsi="Tahoma" w:cs="Tahoma"/>
          <w:color w:val="auto"/>
        </w:rPr>
      </w:pPr>
      <w:r w:rsidRPr="00C32B9A">
        <w:rPr>
          <w:rFonts w:ascii="Tahoma" w:hAnsi="Tahoma" w:cs="Tahoma"/>
          <w:color w:val="auto"/>
        </w:rPr>
        <w:t xml:space="preserve">El presupuesto </w:t>
      </w:r>
      <w:r w:rsidR="00396D78">
        <w:rPr>
          <w:rFonts w:ascii="Tahoma" w:hAnsi="Tahoma" w:cs="Tahoma"/>
          <w:color w:val="auto"/>
        </w:rPr>
        <w:t xml:space="preserve">inicial </w:t>
      </w:r>
      <w:r w:rsidRPr="00C32B9A">
        <w:rPr>
          <w:rFonts w:ascii="Tahoma" w:hAnsi="Tahoma" w:cs="Tahoma"/>
          <w:color w:val="auto"/>
        </w:rPr>
        <w:t xml:space="preserve">de Gastos aprobado para la vigencia 2015 del Municipio  de </w:t>
      </w:r>
      <w:r w:rsidR="001C42B6">
        <w:rPr>
          <w:rFonts w:ascii="Tahoma" w:hAnsi="Tahoma" w:cs="Tahoma"/>
          <w:color w:val="auto"/>
        </w:rPr>
        <w:t>Honda</w:t>
      </w:r>
      <w:r w:rsidRPr="00C32B9A">
        <w:rPr>
          <w:rFonts w:ascii="Tahoma" w:hAnsi="Tahoma" w:cs="Tahoma"/>
          <w:color w:val="auto"/>
        </w:rPr>
        <w:t xml:space="preserve"> Tolima, fue de $1</w:t>
      </w:r>
      <w:r w:rsidR="001C42B6">
        <w:rPr>
          <w:rFonts w:ascii="Tahoma" w:hAnsi="Tahoma" w:cs="Tahoma"/>
          <w:color w:val="auto"/>
        </w:rPr>
        <w:t>1.326</w:t>
      </w:r>
      <w:r w:rsidR="00881C9C">
        <w:rPr>
          <w:rFonts w:ascii="Tahoma" w:hAnsi="Tahoma" w:cs="Tahoma"/>
          <w:color w:val="auto"/>
        </w:rPr>
        <w:t xml:space="preserve"> millones</w:t>
      </w:r>
      <w:r w:rsidRPr="00C32B9A">
        <w:rPr>
          <w:rFonts w:ascii="Tahoma" w:hAnsi="Tahoma" w:cs="Tahoma"/>
          <w:color w:val="auto"/>
        </w:rPr>
        <w:t>, de los cuales $3.3</w:t>
      </w:r>
      <w:r w:rsidR="00396D78">
        <w:rPr>
          <w:rFonts w:ascii="Tahoma" w:hAnsi="Tahoma" w:cs="Tahoma"/>
          <w:color w:val="auto"/>
        </w:rPr>
        <w:t>78</w:t>
      </w:r>
      <w:r w:rsidR="00881C9C">
        <w:rPr>
          <w:rFonts w:ascii="Tahoma" w:hAnsi="Tahoma" w:cs="Tahoma"/>
          <w:color w:val="auto"/>
        </w:rPr>
        <w:t xml:space="preserve"> millones</w:t>
      </w:r>
      <w:r w:rsidRPr="00C32B9A">
        <w:rPr>
          <w:rFonts w:ascii="Tahoma" w:hAnsi="Tahoma" w:cs="Tahoma"/>
          <w:color w:val="auto"/>
        </w:rPr>
        <w:t xml:space="preserve"> correspondieron a Gastos de funcionamiento, es decir un 2</w:t>
      </w:r>
      <w:r w:rsidR="00396D78">
        <w:rPr>
          <w:rFonts w:ascii="Tahoma" w:hAnsi="Tahoma" w:cs="Tahoma"/>
          <w:color w:val="auto"/>
        </w:rPr>
        <w:t>9.83</w:t>
      </w:r>
      <w:r w:rsidRPr="00C32B9A">
        <w:rPr>
          <w:rFonts w:ascii="Tahoma" w:hAnsi="Tahoma" w:cs="Tahoma"/>
          <w:color w:val="auto"/>
        </w:rPr>
        <w:t>% y $</w:t>
      </w:r>
      <w:r w:rsidR="00791734">
        <w:rPr>
          <w:rFonts w:ascii="Tahoma" w:hAnsi="Tahoma" w:cs="Tahoma"/>
          <w:color w:val="auto"/>
        </w:rPr>
        <w:t>7.948</w:t>
      </w:r>
      <w:r w:rsidR="00881C9C">
        <w:rPr>
          <w:rFonts w:ascii="Tahoma" w:hAnsi="Tahoma" w:cs="Tahoma"/>
          <w:color w:val="auto"/>
        </w:rPr>
        <w:t xml:space="preserve"> millones</w:t>
      </w:r>
      <w:r w:rsidRPr="00C32B9A">
        <w:rPr>
          <w:rFonts w:ascii="Tahoma" w:hAnsi="Tahoma" w:cs="Tahoma"/>
          <w:color w:val="auto"/>
        </w:rPr>
        <w:t xml:space="preserve"> a Gastos de Inversión, con un 7</w:t>
      </w:r>
      <w:r w:rsidR="00791734">
        <w:rPr>
          <w:rFonts w:ascii="Tahoma" w:hAnsi="Tahoma" w:cs="Tahoma"/>
          <w:color w:val="auto"/>
        </w:rPr>
        <w:t>0.17</w:t>
      </w:r>
      <w:r w:rsidRPr="00C32B9A">
        <w:rPr>
          <w:rFonts w:ascii="Tahoma" w:hAnsi="Tahoma" w:cs="Tahoma"/>
          <w:color w:val="auto"/>
        </w:rPr>
        <w:t>%.</w:t>
      </w:r>
      <w:r w:rsidR="00A566FE">
        <w:rPr>
          <w:rFonts w:ascii="Tahoma" w:hAnsi="Tahoma" w:cs="Tahoma"/>
          <w:color w:val="auto"/>
        </w:rPr>
        <w:t xml:space="preserve">  Ver gráfico</w:t>
      </w:r>
      <w:r w:rsidR="00CB6457">
        <w:rPr>
          <w:rFonts w:ascii="Tahoma" w:hAnsi="Tahoma" w:cs="Tahoma"/>
          <w:color w:val="auto"/>
        </w:rPr>
        <w:t>.</w:t>
      </w:r>
    </w:p>
    <w:p w:rsidR="00231ECA" w:rsidRPr="00C32B9A" w:rsidRDefault="00231ECA" w:rsidP="00C32B9A">
      <w:pPr>
        <w:spacing w:before="0" w:after="0"/>
        <w:jc w:val="both"/>
        <w:rPr>
          <w:rFonts w:ascii="Tahoma" w:hAnsi="Tahoma" w:cs="Tahoma"/>
          <w:color w:val="auto"/>
        </w:rPr>
      </w:pPr>
    </w:p>
    <w:p w:rsidR="00C32B9A" w:rsidRDefault="00C32B9A" w:rsidP="00C32B9A">
      <w:pPr>
        <w:spacing w:before="0" w:after="0"/>
        <w:jc w:val="both"/>
        <w:rPr>
          <w:rFonts w:ascii="Tahoma" w:hAnsi="Tahoma" w:cs="Tahoma"/>
          <w:color w:val="auto"/>
        </w:rPr>
      </w:pPr>
      <w:r>
        <w:rPr>
          <w:noProof/>
        </w:rPr>
        <w:drawing>
          <wp:anchor distT="0" distB="0" distL="114300" distR="114300" simplePos="0" relativeHeight="251706368" behindDoc="0" locked="0" layoutInCell="1" allowOverlap="1" wp14:anchorId="245388C5" wp14:editId="33B2BDF7">
            <wp:simplePos x="0" y="0"/>
            <wp:positionH relativeFrom="column">
              <wp:posOffset>1032510</wp:posOffset>
            </wp:positionH>
            <wp:positionV relativeFrom="paragraph">
              <wp:posOffset>141605</wp:posOffset>
            </wp:positionV>
            <wp:extent cx="4216400" cy="1905000"/>
            <wp:effectExtent l="0" t="0" r="12700" b="19050"/>
            <wp:wrapSquare wrapText="bothSides"/>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r>
        <w:rPr>
          <w:rFonts w:ascii="Tahoma" w:hAnsi="Tahoma" w:cs="Tahoma"/>
          <w:color w:val="auto"/>
        </w:rPr>
        <w:t xml:space="preserve"> </w:t>
      </w:r>
    </w:p>
    <w:p w:rsidR="00C32B9A" w:rsidRDefault="00C32B9A" w:rsidP="00C32B9A">
      <w:pPr>
        <w:spacing w:before="0" w:after="0"/>
        <w:jc w:val="both"/>
        <w:rPr>
          <w:rFonts w:ascii="Tahoma" w:hAnsi="Tahoma" w:cs="Tahoma"/>
          <w:bCs/>
          <w:color w:val="auto"/>
          <w:szCs w:val="16"/>
        </w:rPr>
      </w:pPr>
    </w:p>
    <w:p w:rsidR="00C32B9A" w:rsidRDefault="00C32B9A" w:rsidP="00C32B9A">
      <w:pPr>
        <w:spacing w:before="0" w:after="0"/>
        <w:jc w:val="both"/>
        <w:rPr>
          <w:rFonts w:ascii="Tahoma" w:hAnsi="Tahoma" w:cs="Tahoma"/>
          <w:bCs/>
          <w:color w:val="auto"/>
          <w:szCs w:val="16"/>
        </w:rPr>
      </w:pPr>
    </w:p>
    <w:p w:rsidR="00C32B9A" w:rsidRDefault="00C32B9A" w:rsidP="00C32B9A">
      <w:pPr>
        <w:spacing w:before="0" w:after="0"/>
        <w:rPr>
          <w:rFonts w:ascii="Tahoma" w:hAnsi="Tahoma" w:cs="Tahoma"/>
          <w:color w:val="auto"/>
        </w:rPr>
      </w:pPr>
    </w:p>
    <w:p w:rsidR="00C32B9A" w:rsidRPr="00B761E4" w:rsidRDefault="00C32B9A" w:rsidP="00C32B9A">
      <w:pPr>
        <w:spacing w:before="0" w:after="0"/>
        <w:rPr>
          <w:rFonts w:ascii="Tahoma" w:hAnsi="Tahoma" w:cs="Tahoma"/>
          <w:b/>
          <w:szCs w:val="24"/>
        </w:rPr>
      </w:pPr>
      <w:r>
        <w:rPr>
          <w:rFonts w:ascii="Tahoma" w:hAnsi="Tahoma" w:cs="Tahoma"/>
          <w:color w:val="auto"/>
        </w:rPr>
        <w:br w:type="textWrapping" w:clear="all"/>
      </w:r>
    </w:p>
    <w:p w:rsidR="00231ECA" w:rsidRDefault="00231ECA" w:rsidP="00595DA7">
      <w:pPr>
        <w:spacing w:before="0" w:after="0"/>
        <w:jc w:val="both"/>
        <w:rPr>
          <w:rFonts w:ascii="Tahoma" w:hAnsi="Tahoma" w:cs="Tahoma"/>
          <w:b/>
          <w:color w:val="auto"/>
        </w:rPr>
      </w:pPr>
    </w:p>
    <w:p w:rsidR="00595DA7" w:rsidRDefault="00595DA7" w:rsidP="00595DA7">
      <w:pPr>
        <w:spacing w:before="0" w:after="0"/>
        <w:jc w:val="both"/>
        <w:rPr>
          <w:rFonts w:ascii="Tahoma" w:hAnsi="Tahoma" w:cs="Tahoma"/>
          <w:color w:val="auto"/>
        </w:rPr>
      </w:pPr>
      <w:r w:rsidRPr="00E255C8">
        <w:rPr>
          <w:rFonts w:ascii="Tahoma" w:hAnsi="Tahoma" w:cs="Tahoma"/>
          <w:b/>
          <w:color w:val="auto"/>
        </w:rPr>
        <w:t>Los Gastos de Funcionamiento</w:t>
      </w:r>
      <w:r>
        <w:rPr>
          <w:rFonts w:ascii="Tahoma" w:hAnsi="Tahoma" w:cs="Tahoma"/>
          <w:color w:val="auto"/>
        </w:rPr>
        <w:t xml:space="preserve"> se subdividieron en</w:t>
      </w:r>
      <w:r w:rsidR="005325B4">
        <w:rPr>
          <w:rFonts w:ascii="Tahoma" w:hAnsi="Tahoma" w:cs="Tahoma"/>
          <w:color w:val="auto"/>
        </w:rPr>
        <w:t xml:space="preserve"> Servicios Personales</w:t>
      </w:r>
      <w:r w:rsidR="00815CEE">
        <w:rPr>
          <w:rFonts w:ascii="Tahoma" w:hAnsi="Tahoma" w:cs="Tahoma"/>
          <w:color w:val="auto"/>
        </w:rPr>
        <w:t xml:space="preserve"> con $</w:t>
      </w:r>
      <w:r w:rsidR="00E026F1">
        <w:rPr>
          <w:rFonts w:ascii="Tahoma" w:hAnsi="Tahoma" w:cs="Tahoma"/>
          <w:color w:val="auto"/>
        </w:rPr>
        <w:t>2.055</w:t>
      </w:r>
      <w:r w:rsidR="00881C9C">
        <w:rPr>
          <w:rFonts w:ascii="Tahoma" w:hAnsi="Tahoma" w:cs="Tahoma"/>
          <w:color w:val="auto"/>
        </w:rPr>
        <w:t xml:space="preserve"> millones</w:t>
      </w:r>
      <w:r w:rsidR="00815CEE">
        <w:rPr>
          <w:rFonts w:ascii="Tahoma" w:hAnsi="Tahoma" w:cs="Tahoma"/>
          <w:color w:val="auto"/>
        </w:rPr>
        <w:t xml:space="preserve">, es decir con un </w:t>
      </w:r>
      <w:r w:rsidR="00E6303E">
        <w:rPr>
          <w:rFonts w:ascii="Tahoma" w:hAnsi="Tahoma" w:cs="Tahoma"/>
          <w:color w:val="auto"/>
        </w:rPr>
        <w:t>60.85</w:t>
      </w:r>
      <w:r w:rsidR="00815CEE" w:rsidRPr="00E026F1">
        <w:rPr>
          <w:rFonts w:ascii="Tahoma" w:hAnsi="Tahoma" w:cs="Tahoma"/>
          <w:b/>
          <w:color w:val="auto"/>
        </w:rPr>
        <w:t>%</w:t>
      </w:r>
      <w:r w:rsidR="005325B4" w:rsidRPr="00E026F1">
        <w:rPr>
          <w:rFonts w:ascii="Tahoma" w:hAnsi="Tahoma" w:cs="Tahoma"/>
          <w:b/>
          <w:color w:val="auto"/>
        </w:rPr>
        <w:t>,</w:t>
      </w:r>
      <w:r w:rsidR="005325B4">
        <w:rPr>
          <w:rFonts w:ascii="Tahoma" w:hAnsi="Tahoma" w:cs="Tahoma"/>
          <w:color w:val="auto"/>
        </w:rPr>
        <w:t xml:space="preserve"> Transferencias</w:t>
      </w:r>
      <w:r w:rsidR="00815CEE">
        <w:rPr>
          <w:rFonts w:ascii="Tahoma" w:hAnsi="Tahoma" w:cs="Tahoma"/>
          <w:color w:val="auto"/>
        </w:rPr>
        <w:t xml:space="preserve"> con $</w:t>
      </w:r>
      <w:r w:rsidR="00E026F1">
        <w:rPr>
          <w:rFonts w:ascii="Tahoma" w:hAnsi="Tahoma" w:cs="Tahoma"/>
          <w:color w:val="auto"/>
        </w:rPr>
        <w:t>9</w:t>
      </w:r>
      <w:r w:rsidR="00685A7B">
        <w:rPr>
          <w:rFonts w:ascii="Tahoma" w:hAnsi="Tahoma" w:cs="Tahoma"/>
          <w:color w:val="auto"/>
        </w:rPr>
        <w:t>20</w:t>
      </w:r>
      <w:r w:rsidR="00881C9C">
        <w:rPr>
          <w:rFonts w:ascii="Tahoma" w:hAnsi="Tahoma" w:cs="Tahoma"/>
          <w:color w:val="auto"/>
        </w:rPr>
        <w:t xml:space="preserve"> millones</w:t>
      </w:r>
      <w:r w:rsidR="00815CEE">
        <w:rPr>
          <w:rFonts w:ascii="Tahoma" w:hAnsi="Tahoma" w:cs="Tahoma"/>
          <w:color w:val="auto"/>
        </w:rPr>
        <w:t xml:space="preserve">, y un </w:t>
      </w:r>
      <w:r w:rsidR="00E6303E">
        <w:rPr>
          <w:rFonts w:ascii="Tahoma" w:hAnsi="Tahoma" w:cs="Tahoma"/>
          <w:color w:val="auto"/>
        </w:rPr>
        <w:t>27.23</w:t>
      </w:r>
      <w:r w:rsidR="00815CEE" w:rsidRPr="00881C9C">
        <w:rPr>
          <w:rFonts w:ascii="Tahoma" w:hAnsi="Tahoma" w:cs="Tahoma"/>
          <w:b/>
          <w:color w:val="auto"/>
        </w:rPr>
        <w:t>%</w:t>
      </w:r>
      <w:r w:rsidR="00815CEE">
        <w:rPr>
          <w:rFonts w:ascii="Tahoma" w:hAnsi="Tahoma" w:cs="Tahoma"/>
          <w:color w:val="auto"/>
        </w:rPr>
        <w:t xml:space="preserve"> </w:t>
      </w:r>
      <w:r w:rsidR="005325B4">
        <w:rPr>
          <w:rFonts w:ascii="Tahoma" w:hAnsi="Tahoma" w:cs="Tahoma"/>
          <w:color w:val="auto"/>
        </w:rPr>
        <w:t xml:space="preserve"> y Gastos Generales</w:t>
      </w:r>
      <w:r w:rsidR="00881C9C">
        <w:rPr>
          <w:rFonts w:ascii="Tahoma" w:hAnsi="Tahoma" w:cs="Tahoma"/>
          <w:color w:val="auto"/>
        </w:rPr>
        <w:t xml:space="preserve"> con $</w:t>
      </w:r>
      <w:r w:rsidR="00E026F1">
        <w:rPr>
          <w:rFonts w:ascii="Tahoma" w:hAnsi="Tahoma" w:cs="Tahoma"/>
          <w:color w:val="auto"/>
        </w:rPr>
        <w:t>403</w:t>
      </w:r>
      <w:r w:rsidR="00881C9C">
        <w:rPr>
          <w:rFonts w:ascii="Tahoma" w:hAnsi="Tahoma" w:cs="Tahoma"/>
          <w:color w:val="auto"/>
        </w:rPr>
        <w:t xml:space="preserve"> millones</w:t>
      </w:r>
      <w:r w:rsidR="00817D8E">
        <w:rPr>
          <w:rFonts w:ascii="Tahoma" w:hAnsi="Tahoma" w:cs="Tahoma"/>
          <w:color w:val="auto"/>
        </w:rPr>
        <w:t xml:space="preserve"> con un </w:t>
      </w:r>
      <w:r w:rsidR="00E6303E">
        <w:rPr>
          <w:rFonts w:ascii="Tahoma" w:hAnsi="Tahoma" w:cs="Tahoma"/>
          <w:color w:val="auto"/>
        </w:rPr>
        <w:t>11.93%</w:t>
      </w:r>
      <w:r w:rsidR="00685A7B">
        <w:rPr>
          <w:rFonts w:ascii="Tahoma" w:hAnsi="Tahoma" w:cs="Tahoma"/>
          <w:b/>
          <w:color w:val="auto"/>
        </w:rPr>
        <w:t xml:space="preserve">. </w:t>
      </w:r>
      <w:r w:rsidR="00817D8E">
        <w:rPr>
          <w:rFonts w:ascii="Tahoma" w:hAnsi="Tahoma" w:cs="Tahoma"/>
          <w:color w:val="auto"/>
        </w:rPr>
        <w:t xml:space="preserve"> </w:t>
      </w:r>
    </w:p>
    <w:p w:rsidR="00595DA7" w:rsidRDefault="00595DA7" w:rsidP="00595DA7">
      <w:pPr>
        <w:spacing w:before="0" w:after="0"/>
        <w:rPr>
          <w:rFonts w:ascii="Tahoma" w:hAnsi="Tahoma" w:cs="Tahoma"/>
          <w:color w:val="auto"/>
        </w:rPr>
      </w:pPr>
    </w:p>
    <w:p w:rsidR="00595DA7" w:rsidRDefault="00EF1F54" w:rsidP="001D6862">
      <w:pPr>
        <w:spacing w:before="0" w:after="0"/>
        <w:rPr>
          <w:rFonts w:ascii="Tahoma" w:hAnsi="Tahoma" w:cs="Tahoma"/>
          <w:b/>
          <w:szCs w:val="24"/>
        </w:rPr>
      </w:pPr>
      <w:r>
        <w:rPr>
          <w:rFonts w:ascii="Tahoma" w:hAnsi="Tahoma" w:cs="Tahoma"/>
          <w:noProof/>
          <w:color w:val="auto"/>
        </w:rPr>
        <w:lastRenderedPageBreak/>
        <w:drawing>
          <wp:inline distT="0" distB="0" distL="0" distR="0" wp14:anchorId="3CB68A0F" wp14:editId="41DB2496">
            <wp:extent cx="5486400" cy="2857500"/>
            <wp:effectExtent l="0" t="0" r="19050" b="19050"/>
            <wp:docPr id="1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A0FB7" w:rsidRDefault="00AA0FB7" w:rsidP="00595DA7">
      <w:pPr>
        <w:spacing w:before="0" w:after="0"/>
        <w:jc w:val="both"/>
        <w:rPr>
          <w:rFonts w:ascii="Tahoma" w:hAnsi="Tahoma" w:cs="Tahoma"/>
          <w:color w:val="auto"/>
        </w:rPr>
      </w:pPr>
    </w:p>
    <w:p w:rsidR="001E2CF6" w:rsidRDefault="00595DA7" w:rsidP="009627C2">
      <w:pPr>
        <w:spacing w:before="0" w:after="0"/>
        <w:jc w:val="both"/>
        <w:rPr>
          <w:rFonts w:ascii="Tahoma" w:hAnsi="Tahoma" w:cs="Tahoma"/>
          <w:color w:val="auto"/>
        </w:rPr>
      </w:pPr>
      <w:r w:rsidRPr="00E255C8">
        <w:rPr>
          <w:rFonts w:ascii="Tahoma" w:hAnsi="Tahoma" w:cs="Tahoma"/>
          <w:b/>
          <w:color w:val="auto"/>
        </w:rPr>
        <w:t>Los Gastos de inversión</w:t>
      </w:r>
      <w:r w:rsidRPr="006309B9">
        <w:rPr>
          <w:rFonts w:ascii="Tahoma" w:hAnsi="Tahoma" w:cs="Tahoma"/>
          <w:color w:val="auto"/>
        </w:rPr>
        <w:t xml:space="preserve"> se </w:t>
      </w:r>
      <w:r w:rsidR="00AA0FB7" w:rsidRPr="006309B9">
        <w:rPr>
          <w:rFonts w:ascii="Tahoma" w:hAnsi="Tahoma" w:cs="Tahoma"/>
          <w:color w:val="auto"/>
        </w:rPr>
        <w:t>Clasificaron en</w:t>
      </w:r>
      <w:r>
        <w:rPr>
          <w:rFonts w:ascii="Tahoma" w:hAnsi="Tahoma" w:cs="Tahoma"/>
          <w:color w:val="auto"/>
        </w:rPr>
        <w:t>:</w:t>
      </w:r>
      <w:r w:rsidR="00AA0FB7">
        <w:rPr>
          <w:rFonts w:ascii="Tahoma" w:hAnsi="Tahoma" w:cs="Tahoma"/>
          <w:color w:val="auto"/>
        </w:rPr>
        <w:t xml:space="preserve"> </w:t>
      </w:r>
      <w:r w:rsidR="009627C2">
        <w:rPr>
          <w:rFonts w:ascii="Tahoma" w:hAnsi="Tahoma" w:cs="Tahoma"/>
          <w:color w:val="auto"/>
        </w:rPr>
        <w:t>Sector Salud con un 27.84%, Sector Energía 11.48%, Sector Gobierno 9.41%, Sector Educación 5.42%, Sector Saneamiento Básico 4.90%, Sector Transporte 2.84%, Sector Defensa 1.31% y otros Sectores 36.80</w:t>
      </w:r>
      <w:r w:rsidR="007D17E3">
        <w:rPr>
          <w:rFonts w:ascii="Tahoma" w:hAnsi="Tahoma" w:cs="Tahoma"/>
          <w:color w:val="auto"/>
        </w:rPr>
        <w:t xml:space="preserve"> </w:t>
      </w:r>
      <w:r w:rsidR="009627C2">
        <w:rPr>
          <w:rFonts w:ascii="Tahoma" w:hAnsi="Tahoma" w:cs="Tahoma"/>
          <w:color w:val="auto"/>
        </w:rPr>
        <w:t>%</w:t>
      </w:r>
    </w:p>
    <w:p w:rsidR="007D17E3" w:rsidRDefault="007D17E3" w:rsidP="009627C2">
      <w:pPr>
        <w:spacing w:before="0" w:after="0"/>
        <w:jc w:val="both"/>
        <w:rPr>
          <w:rFonts w:ascii="Tahoma" w:hAnsi="Tahoma" w:cs="Tahoma"/>
          <w:b/>
          <w:szCs w:val="24"/>
        </w:rPr>
      </w:pPr>
    </w:p>
    <w:p w:rsidR="005325B4" w:rsidRDefault="009627C2" w:rsidP="00815CEE">
      <w:pPr>
        <w:spacing w:before="0" w:after="0"/>
        <w:jc w:val="center"/>
        <w:rPr>
          <w:rFonts w:ascii="Tahoma" w:hAnsi="Tahoma" w:cs="Tahoma"/>
          <w:b/>
          <w:szCs w:val="24"/>
        </w:rPr>
      </w:pPr>
      <w:r w:rsidRPr="009627C2">
        <w:rPr>
          <w:noProof/>
        </w:rPr>
        <w:drawing>
          <wp:inline distT="0" distB="0" distL="0" distR="0" wp14:anchorId="73A230E3" wp14:editId="303A678E">
            <wp:extent cx="4694327" cy="2796783"/>
            <wp:effectExtent l="0" t="0" r="0" b="381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694327" cy="2796783"/>
                    </a:xfrm>
                    <a:prstGeom prst="rect">
                      <a:avLst/>
                    </a:prstGeom>
                  </pic:spPr>
                </pic:pic>
              </a:graphicData>
            </a:graphic>
          </wp:inline>
        </w:drawing>
      </w:r>
    </w:p>
    <w:p w:rsidR="00815CEE" w:rsidRDefault="00815CEE" w:rsidP="001D6862">
      <w:pPr>
        <w:spacing w:before="0" w:after="0"/>
        <w:rPr>
          <w:rFonts w:ascii="Tahoma" w:hAnsi="Tahoma" w:cs="Tahoma"/>
          <w:b/>
          <w:szCs w:val="24"/>
        </w:rPr>
      </w:pPr>
    </w:p>
    <w:p w:rsidR="00771F35" w:rsidRDefault="00AC4815" w:rsidP="00771F35">
      <w:pPr>
        <w:tabs>
          <w:tab w:val="left" w:pos="1000"/>
        </w:tabs>
        <w:spacing w:before="0" w:after="0"/>
        <w:jc w:val="both"/>
        <w:rPr>
          <w:rFonts w:ascii="Tahoma" w:eastAsia="Times New Roman" w:hAnsi="Tahoma" w:cs="Tahoma"/>
          <w:color w:val="auto"/>
        </w:rPr>
      </w:pPr>
      <w:r w:rsidRPr="00AC4815">
        <w:rPr>
          <w:rFonts w:ascii="Tahoma" w:hAnsi="Tahoma" w:cs="Tahoma"/>
          <w:color w:val="auto"/>
        </w:rPr>
        <w:lastRenderedPageBreak/>
        <w:t xml:space="preserve">De la ejecución presupuestal,  se pudo observar que </w:t>
      </w:r>
      <w:r w:rsidR="00F740CE">
        <w:rPr>
          <w:rFonts w:ascii="Tahoma" w:hAnsi="Tahoma" w:cs="Tahoma"/>
          <w:color w:val="auto"/>
        </w:rPr>
        <w:t>la mayor inversión se destinó a</w:t>
      </w:r>
      <w:r w:rsidRPr="00AC4815">
        <w:rPr>
          <w:rFonts w:ascii="Tahoma" w:hAnsi="Tahoma" w:cs="Tahoma"/>
          <w:color w:val="auto"/>
        </w:rPr>
        <w:t xml:space="preserve"> </w:t>
      </w:r>
      <w:r w:rsidR="00771F35">
        <w:rPr>
          <w:rFonts w:ascii="Tahoma" w:eastAsia="Times New Roman" w:hAnsi="Tahoma" w:cs="Tahoma"/>
          <w:color w:val="auto"/>
        </w:rPr>
        <w:t xml:space="preserve">Otros Sectores </w:t>
      </w:r>
      <w:r w:rsidR="00771F35">
        <w:rPr>
          <w:rFonts w:ascii="Tahoma" w:hAnsi="Tahoma" w:cs="Tahoma"/>
          <w:color w:val="auto"/>
        </w:rPr>
        <w:t xml:space="preserve">con un 36.80% equivalentes a $622 millones, </w:t>
      </w:r>
      <w:r w:rsidR="00EC6515">
        <w:rPr>
          <w:rFonts w:ascii="Tahoma" w:hAnsi="Tahoma" w:cs="Tahoma"/>
          <w:color w:val="auto"/>
        </w:rPr>
        <w:t xml:space="preserve"> </w:t>
      </w:r>
      <w:r w:rsidRPr="00AC4815">
        <w:rPr>
          <w:rFonts w:ascii="Tahoma" w:hAnsi="Tahoma" w:cs="Tahoma"/>
          <w:color w:val="auto"/>
        </w:rPr>
        <w:t xml:space="preserve">Salud con un </w:t>
      </w:r>
      <w:r w:rsidR="007D17E3">
        <w:rPr>
          <w:rFonts w:ascii="Tahoma" w:hAnsi="Tahoma" w:cs="Tahoma"/>
          <w:color w:val="auto"/>
        </w:rPr>
        <w:t>27.84</w:t>
      </w:r>
      <w:r w:rsidRPr="00AC4815">
        <w:rPr>
          <w:rFonts w:ascii="Tahoma" w:hAnsi="Tahoma" w:cs="Tahoma"/>
          <w:color w:val="auto"/>
        </w:rPr>
        <w:t>% equivalentes a $</w:t>
      </w:r>
      <w:r w:rsidR="007D17E3">
        <w:rPr>
          <w:rFonts w:ascii="Tahoma" w:hAnsi="Tahoma" w:cs="Tahoma"/>
          <w:color w:val="auto"/>
        </w:rPr>
        <w:t>3.153</w:t>
      </w:r>
      <w:r w:rsidR="00881C9C">
        <w:rPr>
          <w:rFonts w:ascii="Tahoma" w:eastAsia="Times New Roman" w:hAnsi="Tahoma" w:cs="Tahoma"/>
          <w:color w:val="auto"/>
        </w:rPr>
        <w:t xml:space="preserve"> millones</w:t>
      </w:r>
      <w:r w:rsidRPr="00AC4815">
        <w:rPr>
          <w:rFonts w:ascii="Tahoma" w:eastAsia="Times New Roman" w:hAnsi="Tahoma" w:cs="Tahoma"/>
          <w:color w:val="auto"/>
        </w:rPr>
        <w:t>, seguidos de</w:t>
      </w:r>
      <w:r w:rsidR="00817D8E">
        <w:rPr>
          <w:rFonts w:ascii="Tahoma" w:eastAsia="Times New Roman" w:hAnsi="Tahoma" w:cs="Tahoma"/>
          <w:color w:val="auto"/>
        </w:rPr>
        <w:t xml:space="preserve"> </w:t>
      </w:r>
      <w:r w:rsidR="007D17E3">
        <w:rPr>
          <w:rFonts w:ascii="Tahoma" w:eastAsia="Times New Roman" w:hAnsi="Tahoma" w:cs="Tahoma"/>
          <w:color w:val="auto"/>
        </w:rPr>
        <w:t>Sector Energía con un 11.48% equivalentes a $1.300 millones, Sector Gobierno  con un</w:t>
      </w:r>
      <w:r w:rsidR="00771F35">
        <w:rPr>
          <w:rFonts w:ascii="Tahoma" w:eastAsia="Times New Roman" w:hAnsi="Tahoma" w:cs="Tahoma"/>
          <w:color w:val="auto"/>
        </w:rPr>
        <w:t xml:space="preserve"> 9.41%, equivalentes a $1.066 millones, Sector Educación con un 5.42%, equivalentes a $614 millones, Sector Saneamiento Básico con un 4.90% equivalentes a $555 millones, Sector Transporte con un 2.84% equivalentes a $521 millones y Sector Defensa con un 1.03% equivalentes a $117 millones.</w:t>
      </w:r>
    </w:p>
    <w:p w:rsidR="00AC4815" w:rsidRDefault="00AC4815" w:rsidP="00E4413B">
      <w:pPr>
        <w:tabs>
          <w:tab w:val="left" w:pos="1000"/>
        </w:tabs>
        <w:spacing w:before="0" w:after="0"/>
        <w:jc w:val="both"/>
        <w:rPr>
          <w:rFonts w:ascii="Tahoma" w:hAnsi="Tahoma" w:cs="Tahoma"/>
          <w:b/>
          <w:szCs w:val="24"/>
        </w:rPr>
      </w:pPr>
    </w:p>
    <w:p w:rsidR="00682367" w:rsidRPr="00B761E4" w:rsidRDefault="00B761E4" w:rsidP="001D6862">
      <w:pPr>
        <w:spacing w:before="0" w:after="0"/>
        <w:rPr>
          <w:rFonts w:ascii="Tahoma" w:hAnsi="Tahoma" w:cs="Tahoma"/>
          <w:b/>
          <w:szCs w:val="24"/>
        </w:rPr>
      </w:pPr>
      <w:r w:rsidRPr="00B761E4">
        <w:rPr>
          <w:rFonts w:ascii="Tahoma" w:hAnsi="Tahoma" w:cs="Tahoma"/>
          <w:b/>
          <w:szCs w:val="24"/>
        </w:rPr>
        <w:t>MODIFICACIONES AL PRESUPUESTO DE GASTOS</w:t>
      </w:r>
      <w:r w:rsidR="00577624">
        <w:rPr>
          <w:rFonts w:ascii="Tahoma" w:hAnsi="Tahoma" w:cs="Tahoma"/>
          <w:b/>
          <w:szCs w:val="24"/>
        </w:rPr>
        <w:t xml:space="preserve"> - ADICIONES</w:t>
      </w:r>
    </w:p>
    <w:p w:rsidR="00682367" w:rsidRDefault="00B761E4" w:rsidP="00B761E4">
      <w:pPr>
        <w:tabs>
          <w:tab w:val="left" w:pos="5696"/>
        </w:tabs>
        <w:spacing w:before="0" w:after="0"/>
        <w:jc w:val="both"/>
        <w:rPr>
          <w:rFonts w:ascii="Tahoma" w:hAnsi="Tahoma" w:cs="Tahoma"/>
          <w:szCs w:val="24"/>
        </w:rPr>
      </w:pPr>
      <w:r>
        <w:rPr>
          <w:rFonts w:ascii="Tahoma" w:hAnsi="Tahoma" w:cs="Tahoma"/>
          <w:szCs w:val="24"/>
        </w:rPr>
        <w:tab/>
      </w:r>
    </w:p>
    <w:p w:rsidR="00264A57" w:rsidRDefault="00B761E4" w:rsidP="00595DA7">
      <w:pPr>
        <w:tabs>
          <w:tab w:val="left" w:pos="5696"/>
        </w:tabs>
        <w:spacing w:before="0" w:after="0"/>
        <w:jc w:val="both"/>
        <w:rPr>
          <w:rFonts w:ascii="Tahoma" w:hAnsi="Tahoma" w:cs="Tahoma"/>
          <w:szCs w:val="24"/>
        </w:rPr>
      </w:pPr>
      <w:r>
        <w:rPr>
          <w:rFonts w:ascii="Tahoma" w:hAnsi="Tahoma" w:cs="Tahoma"/>
          <w:szCs w:val="24"/>
        </w:rPr>
        <w:t xml:space="preserve">El presupuesto de gastos del Municipio de </w:t>
      </w:r>
      <w:r w:rsidR="00E4413B">
        <w:rPr>
          <w:rFonts w:ascii="Tahoma" w:hAnsi="Tahoma" w:cs="Tahoma"/>
          <w:szCs w:val="24"/>
        </w:rPr>
        <w:t>Honda</w:t>
      </w:r>
      <w:r>
        <w:rPr>
          <w:rFonts w:ascii="Tahoma" w:hAnsi="Tahoma" w:cs="Tahoma"/>
          <w:szCs w:val="24"/>
        </w:rPr>
        <w:t xml:space="preserve"> </w:t>
      </w:r>
      <w:r w:rsidR="00595DA7">
        <w:rPr>
          <w:rFonts w:ascii="Tahoma" w:hAnsi="Tahoma" w:cs="Tahoma"/>
          <w:szCs w:val="24"/>
        </w:rPr>
        <w:t>vigencia 2015, presentó Adiciones pres</w:t>
      </w:r>
      <w:r w:rsidR="00264A57">
        <w:rPr>
          <w:rFonts w:ascii="Tahoma" w:hAnsi="Tahoma" w:cs="Tahoma"/>
          <w:szCs w:val="24"/>
        </w:rPr>
        <w:t>upuestales en la suma de $</w:t>
      </w:r>
      <w:r w:rsidR="002B51C5">
        <w:rPr>
          <w:rFonts w:ascii="Tahoma" w:hAnsi="Tahoma" w:cs="Tahoma"/>
          <w:szCs w:val="24"/>
        </w:rPr>
        <w:t>20.282</w:t>
      </w:r>
      <w:r w:rsidR="00264A57">
        <w:rPr>
          <w:rFonts w:ascii="Tahoma" w:hAnsi="Tahoma" w:cs="Tahoma"/>
          <w:szCs w:val="24"/>
        </w:rPr>
        <w:t xml:space="preserve"> millones</w:t>
      </w:r>
      <w:r w:rsidR="00595DA7">
        <w:rPr>
          <w:rFonts w:ascii="Tahoma" w:hAnsi="Tahoma" w:cs="Tahoma"/>
          <w:szCs w:val="24"/>
        </w:rPr>
        <w:t xml:space="preserve"> y reducciones en la suma de $</w:t>
      </w:r>
      <w:r w:rsidR="002B51C5">
        <w:rPr>
          <w:rFonts w:ascii="Tahoma" w:hAnsi="Tahoma" w:cs="Tahoma"/>
          <w:szCs w:val="24"/>
        </w:rPr>
        <w:t>56</w:t>
      </w:r>
      <w:r w:rsidR="00264A57">
        <w:rPr>
          <w:rFonts w:ascii="Tahoma" w:hAnsi="Tahoma" w:cs="Tahoma"/>
          <w:szCs w:val="24"/>
        </w:rPr>
        <w:t xml:space="preserve"> millones</w:t>
      </w:r>
      <w:r w:rsidR="00E10692">
        <w:rPr>
          <w:rFonts w:ascii="Tahoma" w:hAnsi="Tahoma" w:cs="Tahoma"/>
          <w:szCs w:val="24"/>
        </w:rPr>
        <w:t xml:space="preserve"> y </w:t>
      </w:r>
      <w:r w:rsidR="00595DA7">
        <w:rPr>
          <w:rFonts w:ascii="Tahoma" w:hAnsi="Tahoma" w:cs="Tahoma"/>
          <w:szCs w:val="24"/>
        </w:rPr>
        <w:t>traslados presupuestales en la suma de $1.</w:t>
      </w:r>
      <w:r w:rsidR="002B51C5">
        <w:rPr>
          <w:rFonts w:ascii="Tahoma" w:hAnsi="Tahoma" w:cs="Tahoma"/>
          <w:szCs w:val="24"/>
        </w:rPr>
        <w:t>506</w:t>
      </w:r>
      <w:r w:rsidR="00264A57">
        <w:rPr>
          <w:rFonts w:ascii="Tahoma" w:hAnsi="Tahoma" w:cs="Tahoma"/>
          <w:szCs w:val="24"/>
        </w:rPr>
        <w:t xml:space="preserve"> millones</w:t>
      </w:r>
      <w:r w:rsidR="00595DA7">
        <w:rPr>
          <w:rFonts w:ascii="Tahoma" w:hAnsi="Tahoma" w:cs="Tahoma"/>
          <w:szCs w:val="24"/>
        </w:rPr>
        <w:t>, para un presupuesto d</w:t>
      </w:r>
      <w:r w:rsidR="00815CEE">
        <w:rPr>
          <w:rFonts w:ascii="Tahoma" w:hAnsi="Tahoma" w:cs="Tahoma"/>
          <w:szCs w:val="24"/>
        </w:rPr>
        <w:t>efinitivo de $</w:t>
      </w:r>
      <w:r w:rsidR="002B51C5">
        <w:rPr>
          <w:rFonts w:ascii="Tahoma" w:hAnsi="Tahoma" w:cs="Tahoma"/>
          <w:szCs w:val="24"/>
        </w:rPr>
        <w:t>31.552</w:t>
      </w:r>
      <w:r w:rsidR="00264A57">
        <w:rPr>
          <w:rFonts w:ascii="Tahoma" w:hAnsi="Tahoma" w:cs="Tahoma"/>
          <w:szCs w:val="24"/>
        </w:rPr>
        <w:t xml:space="preserve"> millones.</w:t>
      </w:r>
    </w:p>
    <w:p w:rsidR="00264A57" w:rsidRDefault="00264A57" w:rsidP="00595DA7">
      <w:pPr>
        <w:tabs>
          <w:tab w:val="left" w:pos="5696"/>
        </w:tabs>
        <w:spacing w:before="0" w:after="0"/>
        <w:jc w:val="both"/>
        <w:rPr>
          <w:rFonts w:ascii="Tahoma" w:hAnsi="Tahoma" w:cs="Tahoma"/>
          <w:szCs w:val="24"/>
        </w:rPr>
      </w:pPr>
    </w:p>
    <w:p w:rsidR="00E324E3" w:rsidRDefault="00EF51FE" w:rsidP="00595DA7">
      <w:pPr>
        <w:tabs>
          <w:tab w:val="left" w:pos="5696"/>
        </w:tabs>
        <w:spacing w:before="0" w:after="0"/>
        <w:jc w:val="both"/>
        <w:rPr>
          <w:rFonts w:ascii="Tahoma" w:hAnsi="Tahoma" w:cs="Tahoma"/>
          <w:szCs w:val="24"/>
        </w:rPr>
      </w:pPr>
      <w:r>
        <w:rPr>
          <w:rFonts w:ascii="Tahoma" w:hAnsi="Tahoma" w:cs="Tahoma"/>
          <w:szCs w:val="24"/>
        </w:rPr>
        <w:t xml:space="preserve"> </w:t>
      </w:r>
    </w:p>
    <w:p w:rsidR="00E324E3" w:rsidRPr="00E324E3" w:rsidRDefault="00E324E3" w:rsidP="00595DA7">
      <w:pPr>
        <w:tabs>
          <w:tab w:val="left" w:pos="5696"/>
        </w:tabs>
        <w:spacing w:before="0" w:after="0"/>
        <w:jc w:val="both"/>
        <w:rPr>
          <w:rFonts w:ascii="Tahoma" w:hAnsi="Tahoma" w:cs="Tahoma"/>
          <w:b/>
          <w:szCs w:val="24"/>
        </w:rPr>
      </w:pPr>
      <w:r w:rsidRPr="00E324E3">
        <w:rPr>
          <w:rFonts w:ascii="Tahoma" w:hAnsi="Tahoma" w:cs="Tahoma"/>
          <w:b/>
          <w:szCs w:val="24"/>
        </w:rPr>
        <w:t>MODIFICACIONES GASTOS DE FUNCIONAMIENTO</w:t>
      </w:r>
      <w:r w:rsidR="00963CFD">
        <w:rPr>
          <w:rFonts w:ascii="Tahoma" w:hAnsi="Tahoma" w:cs="Tahoma"/>
          <w:b/>
          <w:szCs w:val="24"/>
        </w:rPr>
        <w:t xml:space="preserve"> E INVERSION</w:t>
      </w:r>
    </w:p>
    <w:p w:rsidR="00E324E3" w:rsidRDefault="00E324E3" w:rsidP="00595DA7">
      <w:pPr>
        <w:tabs>
          <w:tab w:val="left" w:pos="5696"/>
        </w:tabs>
        <w:spacing w:before="0" w:after="0"/>
        <w:jc w:val="both"/>
        <w:rPr>
          <w:rFonts w:ascii="Tahoma" w:hAnsi="Tahoma" w:cs="Tahoma"/>
          <w:szCs w:val="24"/>
        </w:rPr>
      </w:pPr>
    </w:p>
    <w:p w:rsidR="00E324E3" w:rsidRDefault="00E324E3" w:rsidP="00E324E3">
      <w:pPr>
        <w:tabs>
          <w:tab w:val="left" w:pos="5696"/>
        </w:tabs>
        <w:spacing w:before="0" w:after="0"/>
        <w:jc w:val="both"/>
        <w:rPr>
          <w:rFonts w:ascii="Tahoma" w:hAnsi="Tahoma" w:cs="Tahoma"/>
          <w:szCs w:val="24"/>
        </w:rPr>
      </w:pPr>
      <w:r>
        <w:rPr>
          <w:rFonts w:ascii="Tahoma" w:hAnsi="Tahoma" w:cs="Tahoma"/>
          <w:szCs w:val="24"/>
        </w:rPr>
        <w:t xml:space="preserve">Los Gastos de funcionamiento se incrementaron en un </w:t>
      </w:r>
      <w:r w:rsidR="00B77436">
        <w:rPr>
          <w:rFonts w:ascii="Tahoma" w:hAnsi="Tahoma" w:cs="Tahoma"/>
          <w:szCs w:val="24"/>
        </w:rPr>
        <w:t>12.98</w:t>
      </w:r>
      <w:r>
        <w:rPr>
          <w:rFonts w:ascii="Tahoma" w:hAnsi="Tahoma" w:cs="Tahoma"/>
          <w:szCs w:val="24"/>
        </w:rPr>
        <w:t>%, es decir la suma de $</w:t>
      </w:r>
      <w:r w:rsidR="00B77436">
        <w:rPr>
          <w:rFonts w:ascii="Tahoma" w:hAnsi="Tahoma" w:cs="Tahoma"/>
          <w:szCs w:val="24"/>
        </w:rPr>
        <w:t>438</w:t>
      </w:r>
      <w:r w:rsidR="00264A57">
        <w:rPr>
          <w:rFonts w:ascii="Tahoma" w:hAnsi="Tahoma" w:cs="Tahoma"/>
          <w:szCs w:val="24"/>
        </w:rPr>
        <w:t xml:space="preserve"> millones</w:t>
      </w:r>
      <w:r>
        <w:rPr>
          <w:rFonts w:ascii="Tahoma" w:hAnsi="Tahoma" w:cs="Tahoma"/>
          <w:szCs w:val="24"/>
        </w:rPr>
        <w:t xml:space="preserve"> y los gastos de Inversión en un </w:t>
      </w:r>
      <w:r w:rsidR="00B77436">
        <w:rPr>
          <w:rFonts w:ascii="Tahoma" w:hAnsi="Tahoma" w:cs="Tahoma"/>
          <w:szCs w:val="24"/>
        </w:rPr>
        <w:t>249.67</w:t>
      </w:r>
      <w:r>
        <w:rPr>
          <w:rFonts w:ascii="Tahoma" w:hAnsi="Tahoma" w:cs="Tahoma"/>
          <w:szCs w:val="24"/>
        </w:rPr>
        <w:t>%, equivalentes a $</w:t>
      </w:r>
      <w:r w:rsidR="00B77436">
        <w:rPr>
          <w:rFonts w:ascii="Tahoma" w:hAnsi="Tahoma" w:cs="Tahoma"/>
          <w:szCs w:val="24"/>
        </w:rPr>
        <w:t>19.844</w:t>
      </w:r>
      <w:r w:rsidR="00264A57">
        <w:rPr>
          <w:rFonts w:ascii="Tahoma" w:hAnsi="Tahoma" w:cs="Tahoma"/>
          <w:szCs w:val="24"/>
        </w:rPr>
        <w:t xml:space="preserve"> millones</w:t>
      </w:r>
      <w:r>
        <w:rPr>
          <w:rFonts w:ascii="Tahoma" w:hAnsi="Tahoma" w:cs="Tahoma"/>
          <w:szCs w:val="24"/>
        </w:rPr>
        <w:t xml:space="preserve"> </w:t>
      </w:r>
      <w:r w:rsidR="00264A57">
        <w:rPr>
          <w:rFonts w:ascii="Tahoma" w:hAnsi="Tahoma" w:cs="Tahoma"/>
          <w:szCs w:val="24"/>
        </w:rPr>
        <w:t>con</w:t>
      </w:r>
      <w:r>
        <w:rPr>
          <w:rFonts w:ascii="Tahoma" w:hAnsi="Tahoma" w:cs="Tahoma"/>
          <w:szCs w:val="24"/>
        </w:rPr>
        <w:t xml:space="preserve"> relación al presupuesto inicial.</w:t>
      </w:r>
    </w:p>
    <w:p w:rsidR="00E324E3" w:rsidRDefault="00E324E3" w:rsidP="00595DA7">
      <w:pPr>
        <w:tabs>
          <w:tab w:val="left" w:pos="5696"/>
        </w:tabs>
        <w:spacing w:before="0" w:after="0"/>
        <w:jc w:val="both"/>
        <w:rPr>
          <w:rFonts w:ascii="Tahoma" w:hAnsi="Tahoma" w:cs="Tahoma"/>
          <w:szCs w:val="24"/>
        </w:rPr>
      </w:pPr>
    </w:p>
    <w:p w:rsidR="00E324E3" w:rsidRDefault="00B77436" w:rsidP="00595DA7">
      <w:pPr>
        <w:tabs>
          <w:tab w:val="left" w:pos="5696"/>
        </w:tabs>
        <w:spacing w:before="0" w:after="0"/>
        <w:jc w:val="both"/>
        <w:rPr>
          <w:rFonts w:ascii="Tahoma" w:hAnsi="Tahoma" w:cs="Tahoma"/>
          <w:szCs w:val="24"/>
        </w:rPr>
      </w:pPr>
      <w:r w:rsidRPr="00B77436">
        <w:rPr>
          <w:noProof/>
        </w:rPr>
        <w:drawing>
          <wp:inline distT="0" distB="0" distL="0" distR="0" wp14:anchorId="46263BF6" wp14:editId="43D71F2A">
            <wp:extent cx="5612130" cy="782955"/>
            <wp:effectExtent l="0" t="0" r="762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612130" cy="782955"/>
                    </a:xfrm>
                    <a:prstGeom prst="rect">
                      <a:avLst/>
                    </a:prstGeom>
                  </pic:spPr>
                </pic:pic>
              </a:graphicData>
            </a:graphic>
          </wp:inline>
        </w:drawing>
      </w:r>
    </w:p>
    <w:p w:rsidR="008C2EA2" w:rsidRDefault="008C2EA2" w:rsidP="00595DA7">
      <w:pPr>
        <w:tabs>
          <w:tab w:val="left" w:pos="5696"/>
        </w:tabs>
        <w:spacing w:before="0" w:after="0"/>
        <w:jc w:val="both"/>
        <w:rPr>
          <w:rFonts w:ascii="Tahoma" w:hAnsi="Tahoma" w:cs="Tahoma"/>
          <w:szCs w:val="24"/>
        </w:rPr>
      </w:pPr>
    </w:p>
    <w:p w:rsidR="00EF51FE" w:rsidRDefault="00EF51FE" w:rsidP="00595DA7">
      <w:pPr>
        <w:tabs>
          <w:tab w:val="left" w:pos="5696"/>
        </w:tabs>
        <w:spacing w:before="0" w:after="0"/>
        <w:jc w:val="both"/>
        <w:rPr>
          <w:rFonts w:ascii="Tahoma" w:hAnsi="Tahoma" w:cs="Tahoma"/>
          <w:szCs w:val="24"/>
        </w:rPr>
      </w:pPr>
    </w:p>
    <w:p w:rsidR="008C2EA2" w:rsidRDefault="008C2EA2" w:rsidP="00595DA7">
      <w:pPr>
        <w:tabs>
          <w:tab w:val="left" w:pos="5696"/>
        </w:tabs>
        <w:spacing w:before="0" w:after="0"/>
        <w:jc w:val="both"/>
        <w:rPr>
          <w:rFonts w:ascii="Tahoma" w:hAnsi="Tahoma" w:cs="Tahoma"/>
          <w:szCs w:val="24"/>
        </w:rPr>
      </w:pPr>
    </w:p>
    <w:p w:rsidR="008C2EA2" w:rsidRDefault="008C2EA2" w:rsidP="00264A57">
      <w:pPr>
        <w:tabs>
          <w:tab w:val="left" w:pos="5696"/>
        </w:tabs>
        <w:spacing w:before="0" w:after="0"/>
        <w:jc w:val="center"/>
        <w:rPr>
          <w:rFonts w:ascii="Tahoma" w:hAnsi="Tahoma" w:cs="Tahoma"/>
          <w:szCs w:val="24"/>
        </w:rPr>
      </w:pPr>
      <w:r>
        <w:rPr>
          <w:rFonts w:ascii="Tahoma" w:hAnsi="Tahoma" w:cs="Tahoma"/>
          <w:noProof/>
          <w:szCs w:val="24"/>
        </w:rPr>
        <w:lastRenderedPageBreak/>
        <w:drawing>
          <wp:inline distT="0" distB="0" distL="0" distR="0">
            <wp:extent cx="5486400" cy="3200400"/>
            <wp:effectExtent l="0" t="0" r="19050" b="1905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982549" w:rsidRDefault="00982549" w:rsidP="00595DA7">
      <w:pPr>
        <w:tabs>
          <w:tab w:val="left" w:pos="5696"/>
        </w:tabs>
        <w:spacing w:before="0" w:after="0"/>
        <w:jc w:val="both"/>
        <w:rPr>
          <w:rFonts w:ascii="Tahoma" w:hAnsi="Tahoma" w:cs="Tahoma"/>
          <w:szCs w:val="24"/>
        </w:rPr>
      </w:pPr>
    </w:p>
    <w:p w:rsidR="00231ECA" w:rsidRDefault="00231ECA" w:rsidP="001D6862">
      <w:pPr>
        <w:spacing w:before="0" w:after="0"/>
        <w:jc w:val="both"/>
        <w:rPr>
          <w:rFonts w:ascii="Tahoma" w:hAnsi="Tahoma" w:cs="Tahoma"/>
          <w:b/>
          <w:color w:val="auto"/>
          <w:szCs w:val="16"/>
        </w:rPr>
      </w:pPr>
    </w:p>
    <w:p w:rsidR="00577624" w:rsidRPr="00577624" w:rsidRDefault="00577624" w:rsidP="001D6862">
      <w:pPr>
        <w:spacing w:before="0" w:after="0"/>
        <w:jc w:val="both"/>
        <w:rPr>
          <w:rFonts w:ascii="Tahoma" w:hAnsi="Tahoma" w:cs="Tahoma"/>
          <w:b/>
          <w:color w:val="auto"/>
          <w:szCs w:val="16"/>
        </w:rPr>
      </w:pPr>
      <w:r w:rsidRPr="00577624">
        <w:rPr>
          <w:rFonts w:ascii="Tahoma" w:hAnsi="Tahoma" w:cs="Tahoma"/>
          <w:b/>
          <w:color w:val="auto"/>
          <w:szCs w:val="16"/>
        </w:rPr>
        <w:t>MODIFICACIONES GASTOS DE INVERSION</w:t>
      </w:r>
    </w:p>
    <w:p w:rsidR="00577624" w:rsidRDefault="00577624" w:rsidP="001D6862">
      <w:pPr>
        <w:spacing w:before="0" w:after="0"/>
        <w:jc w:val="both"/>
        <w:rPr>
          <w:rFonts w:ascii="Tahoma" w:hAnsi="Tahoma" w:cs="Tahoma"/>
          <w:color w:val="auto"/>
          <w:szCs w:val="16"/>
        </w:rPr>
      </w:pPr>
    </w:p>
    <w:p w:rsidR="00865411" w:rsidRDefault="00865411" w:rsidP="001D6862">
      <w:pPr>
        <w:spacing w:before="0" w:after="0"/>
        <w:jc w:val="both"/>
        <w:rPr>
          <w:rFonts w:ascii="Tahoma" w:hAnsi="Tahoma" w:cs="Tahoma"/>
          <w:color w:val="auto"/>
          <w:szCs w:val="16"/>
        </w:rPr>
      </w:pPr>
      <w:r>
        <w:rPr>
          <w:rFonts w:ascii="Tahoma" w:hAnsi="Tahoma" w:cs="Tahoma"/>
          <w:color w:val="auto"/>
          <w:szCs w:val="16"/>
        </w:rPr>
        <w:t>Los Gastos de inversi</w:t>
      </w:r>
      <w:r w:rsidR="003B6AFE">
        <w:rPr>
          <w:rFonts w:ascii="Tahoma" w:hAnsi="Tahoma" w:cs="Tahoma"/>
          <w:color w:val="auto"/>
          <w:szCs w:val="16"/>
        </w:rPr>
        <w:t xml:space="preserve">ón </w:t>
      </w:r>
      <w:r>
        <w:rPr>
          <w:rFonts w:ascii="Tahoma" w:hAnsi="Tahoma" w:cs="Tahoma"/>
          <w:color w:val="auto"/>
          <w:szCs w:val="16"/>
        </w:rPr>
        <w:t>que</w:t>
      </w:r>
      <w:r w:rsidR="00BA3E16">
        <w:rPr>
          <w:rFonts w:ascii="Tahoma" w:hAnsi="Tahoma" w:cs="Tahoma"/>
          <w:color w:val="auto"/>
          <w:szCs w:val="16"/>
        </w:rPr>
        <w:t xml:space="preserve"> presentaron</w:t>
      </w:r>
      <w:r>
        <w:rPr>
          <w:rFonts w:ascii="Tahoma" w:hAnsi="Tahoma" w:cs="Tahoma"/>
          <w:color w:val="auto"/>
          <w:szCs w:val="16"/>
        </w:rPr>
        <w:t xml:space="preserve"> </w:t>
      </w:r>
      <w:r w:rsidR="00BA3E16">
        <w:rPr>
          <w:rFonts w:ascii="Tahoma" w:hAnsi="Tahoma" w:cs="Tahoma"/>
          <w:color w:val="auto"/>
          <w:szCs w:val="16"/>
        </w:rPr>
        <w:t>más</w:t>
      </w:r>
      <w:r w:rsidR="003B6AFE">
        <w:rPr>
          <w:rFonts w:ascii="Tahoma" w:hAnsi="Tahoma" w:cs="Tahoma"/>
          <w:color w:val="auto"/>
          <w:szCs w:val="16"/>
        </w:rPr>
        <w:t xml:space="preserve"> </w:t>
      </w:r>
      <w:r w:rsidR="00BA3E16">
        <w:rPr>
          <w:rFonts w:ascii="Tahoma" w:hAnsi="Tahoma" w:cs="Tahoma"/>
          <w:color w:val="auto"/>
          <w:szCs w:val="16"/>
        </w:rPr>
        <w:t>modificaciones</w:t>
      </w:r>
      <w:r w:rsidR="00770887">
        <w:rPr>
          <w:rFonts w:ascii="Tahoma" w:hAnsi="Tahoma" w:cs="Tahoma"/>
          <w:color w:val="auto"/>
          <w:szCs w:val="16"/>
        </w:rPr>
        <w:t xml:space="preserve"> (Adiciones)</w:t>
      </w:r>
      <w:r w:rsidR="00BA3E16">
        <w:rPr>
          <w:rFonts w:ascii="Tahoma" w:hAnsi="Tahoma" w:cs="Tahoma"/>
          <w:color w:val="auto"/>
          <w:szCs w:val="16"/>
        </w:rPr>
        <w:t xml:space="preserve"> </w:t>
      </w:r>
      <w:r w:rsidR="003B6AFE">
        <w:rPr>
          <w:rFonts w:ascii="Tahoma" w:hAnsi="Tahoma" w:cs="Tahoma"/>
          <w:color w:val="auto"/>
          <w:szCs w:val="16"/>
        </w:rPr>
        <w:t>en la vigencia 2015, fueron</w:t>
      </w:r>
      <w:r>
        <w:rPr>
          <w:rFonts w:ascii="Tahoma" w:hAnsi="Tahoma" w:cs="Tahoma"/>
          <w:color w:val="auto"/>
          <w:szCs w:val="16"/>
        </w:rPr>
        <w:t xml:space="preserve">: </w:t>
      </w:r>
      <w:r w:rsidR="0016790A">
        <w:rPr>
          <w:rFonts w:ascii="Tahoma" w:hAnsi="Tahoma" w:cs="Tahoma"/>
          <w:color w:val="auto"/>
          <w:szCs w:val="16"/>
        </w:rPr>
        <w:t xml:space="preserve">Sector Salud $6.903, </w:t>
      </w:r>
      <w:r>
        <w:rPr>
          <w:rFonts w:ascii="Tahoma" w:hAnsi="Tahoma" w:cs="Tahoma"/>
          <w:color w:val="auto"/>
          <w:szCs w:val="16"/>
        </w:rPr>
        <w:t>Sector</w:t>
      </w:r>
      <w:r w:rsidR="0016790A">
        <w:rPr>
          <w:rFonts w:ascii="Tahoma" w:hAnsi="Tahoma" w:cs="Tahoma"/>
          <w:color w:val="auto"/>
          <w:szCs w:val="16"/>
        </w:rPr>
        <w:t xml:space="preserve">, Sector Desarrollo Institucional $3.286, </w:t>
      </w:r>
      <w:r>
        <w:rPr>
          <w:rFonts w:ascii="Tahoma" w:hAnsi="Tahoma" w:cs="Tahoma"/>
          <w:color w:val="auto"/>
          <w:szCs w:val="16"/>
        </w:rPr>
        <w:t xml:space="preserve"> Educación</w:t>
      </w:r>
      <w:r w:rsidR="00BA3E16">
        <w:rPr>
          <w:rFonts w:ascii="Tahoma" w:hAnsi="Tahoma" w:cs="Tahoma"/>
          <w:color w:val="auto"/>
          <w:szCs w:val="16"/>
        </w:rPr>
        <w:t xml:space="preserve"> </w:t>
      </w:r>
      <w:r w:rsidR="003B6AFE">
        <w:rPr>
          <w:rFonts w:ascii="Tahoma" w:hAnsi="Tahoma" w:cs="Tahoma"/>
          <w:color w:val="auto"/>
          <w:szCs w:val="16"/>
        </w:rPr>
        <w:t>$</w:t>
      </w:r>
      <w:r w:rsidR="0016790A">
        <w:rPr>
          <w:rFonts w:ascii="Tahoma" w:hAnsi="Tahoma" w:cs="Tahoma"/>
          <w:color w:val="auto"/>
          <w:szCs w:val="16"/>
        </w:rPr>
        <w:t>1.415</w:t>
      </w:r>
      <w:r w:rsidR="00264A57">
        <w:rPr>
          <w:rFonts w:ascii="Tahoma" w:hAnsi="Tahoma" w:cs="Tahoma"/>
          <w:color w:val="auto"/>
          <w:szCs w:val="16"/>
        </w:rPr>
        <w:t xml:space="preserve"> millones</w:t>
      </w:r>
      <w:r w:rsidR="003B6AFE">
        <w:rPr>
          <w:rFonts w:ascii="Tahoma" w:hAnsi="Tahoma" w:cs="Tahoma"/>
          <w:color w:val="auto"/>
          <w:szCs w:val="16"/>
        </w:rPr>
        <w:t xml:space="preserve">, </w:t>
      </w:r>
      <w:r w:rsidR="0016790A">
        <w:rPr>
          <w:rFonts w:ascii="Tahoma" w:hAnsi="Tahoma" w:cs="Tahoma"/>
          <w:color w:val="auto"/>
          <w:szCs w:val="16"/>
        </w:rPr>
        <w:t>Agua Potable 373 millones, Población Vulnerable 167 millones, Reservas presupuestales $6.196 millones, otros Sectores $2.752 millones.</w:t>
      </w:r>
    </w:p>
    <w:p w:rsidR="000367BB" w:rsidRDefault="00CE6B13" w:rsidP="0003642F">
      <w:pPr>
        <w:spacing w:before="0" w:after="0"/>
        <w:jc w:val="center"/>
        <w:rPr>
          <w:rFonts w:ascii="Tahoma" w:hAnsi="Tahoma" w:cs="Tahoma"/>
          <w:color w:val="auto"/>
          <w:szCs w:val="16"/>
        </w:rPr>
      </w:pPr>
      <w:r w:rsidRPr="00CE6B13">
        <w:rPr>
          <w:noProof/>
        </w:rPr>
        <w:lastRenderedPageBreak/>
        <w:drawing>
          <wp:inline distT="0" distB="0" distL="0" distR="0" wp14:anchorId="5489E4B3" wp14:editId="49179206">
            <wp:extent cx="4610100" cy="2750820"/>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610500" cy="2751059"/>
                    </a:xfrm>
                    <a:prstGeom prst="rect">
                      <a:avLst/>
                    </a:prstGeom>
                  </pic:spPr>
                </pic:pic>
              </a:graphicData>
            </a:graphic>
          </wp:inline>
        </w:drawing>
      </w:r>
    </w:p>
    <w:p w:rsidR="000367BB" w:rsidRDefault="000367BB" w:rsidP="00A44621">
      <w:pPr>
        <w:spacing w:before="0" w:after="0"/>
        <w:jc w:val="center"/>
        <w:rPr>
          <w:rFonts w:ascii="Tahoma" w:hAnsi="Tahoma" w:cs="Tahoma"/>
          <w:color w:val="auto"/>
          <w:szCs w:val="16"/>
        </w:rPr>
      </w:pPr>
    </w:p>
    <w:p w:rsidR="00524E1D" w:rsidRDefault="00E111B6" w:rsidP="001D6862">
      <w:pPr>
        <w:spacing w:before="0" w:after="0"/>
        <w:rPr>
          <w:rFonts w:ascii="Tahoma" w:hAnsi="Tahoma" w:cs="Tahoma"/>
          <w:b/>
          <w:szCs w:val="24"/>
        </w:rPr>
      </w:pPr>
      <w:r>
        <w:rPr>
          <w:rFonts w:ascii="Tahoma" w:hAnsi="Tahoma" w:cs="Tahoma"/>
          <w:b/>
          <w:szCs w:val="24"/>
        </w:rPr>
        <w:t>GASTOS EJECUTADOS</w:t>
      </w:r>
    </w:p>
    <w:p w:rsidR="00072FEB" w:rsidRPr="00565F73" w:rsidRDefault="00072FEB" w:rsidP="001D6862">
      <w:pPr>
        <w:spacing w:before="0" w:after="0"/>
        <w:rPr>
          <w:rFonts w:ascii="Tahoma" w:hAnsi="Tahoma" w:cs="Tahoma"/>
          <w:b/>
          <w:sz w:val="16"/>
          <w:szCs w:val="24"/>
        </w:rPr>
      </w:pPr>
    </w:p>
    <w:p w:rsidR="00CD3A6C" w:rsidRDefault="00524E1D" w:rsidP="00C01693">
      <w:pPr>
        <w:spacing w:before="0" w:after="0"/>
        <w:jc w:val="both"/>
        <w:rPr>
          <w:rFonts w:ascii="Tahoma" w:hAnsi="Tahoma" w:cs="Tahoma"/>
          <w:bCs/>
          <w:color w:val="auto"/>
        </w:rPr>
      </w:pPr>
      <w:r w:rsidRPr="00B65E8C">
        <w:rPr>
          <w:rFonts w:ascii="Tahoma" w:hAnsi="Tahoma" w:cs="Tahoma"/>
          <w:color w:val="auto"/>
        </w:rPr>
        <w:t>A</w:t>
      </w:r>
      <w:r w:rsidR="00E111B6">
        <w:rPr>
          <w:rFonts w:ascii="Tahoma" w:hAnsi="Tahoma" w:cs="Tahoma"/>
          <w:color w:val="auto"/>
        </w:rPr>
        <w:t xml:space="preserve"> Diciembre 31 de 2015, </w:t>
      </w:r>
      <w:r w:rsidRPr="00B65E8C">
        <w:rPr>
          <w:rFonts w:ascii="Tahoma" w:hAnsi="Tahoma" w:cs="Tahoma"/>
          <w:color w:val="auto"/>
        </w:rPr>
        <w:t xml:space="preserve">el Municipio de </w:t>
      </w:r>
      <w:r w:rsidR="00753182">
        <w:rPr>
          <w:rFonts w:ascii="Tahoma" w:hAnsi="Tahoma" w:cs="Tahoma"/>
          <w:color w:val="auto"/>
        </w:rPr>
        <w:t>Honda</w:t>
      </w:r>
      <w:r w:rsidRPr="00B65E8C">
        <w:rPr>
          <w:rFonts w:ascii="Tahoma" w:hAnsi="Tahoma" w:cs="Tahoma"/>
          <w:color w:val="auto"/>
        </w:rPr>
        <w:t xml:space="preserve"> comprometió gastos por  </w:t>
      </w:r>
      <w:r w:rsidR="00E111B6">
        <w:rPr>
          <w:rFonts w:ascii="Tahoma" w:hAnsi="Tahoma" w:cs="Tahoma"/>
          <w:color w:val="auto"/>
        </w:rPr>
        <w:t>la suma</w:t>
      </w:r>
      <w:r w:rsidRPr="00B65E8C">
        <w:rPr>
          <w:rFonts w:ascii="Tahoma" w:hAnsi="Tahoma" w:cs="Tahoma"/>
          <w:color w:val="auto"/>
        </w:rPr>
        <w:t xml:space="preserve"> de $</w:t>
      </w:r>
      <w:r w:rsidR="00753182">
        <w:rPr>
          <w:rFonts w:ascii="Tahoma" w:hAnsi="Tahoma" w:cs="Tahoma"/>
          <w:color w:val="auto"/>
        </w:rPr>
        <w:t>23.663</w:t>
      </w:r>
      <w:r w:rsidR="00264A57">
        <w:rPr>
          <w:rFonts w:ascii="Tahoma" w:hAnsi="Tahoma" w:cs="Tahoma"/>
          <w:color w:val="auto"/>
        </w:rPr>
        <w:t xml:space="preserve"> millones</w:t>
      </w:r>
      <w:r w:rsidR="00E111B6">
        <w:rPr>
          <w:rFonts w:ascii="Tahoma" w:hAnsi="Tahoma" w:cs="Tahoma"/>
          <w:color w:val="auto"/>
        </w:rPr>
        <w:t xml:space="preserve">, </w:t>
      </w:r>
      <w:r w:rsidR="006C7116">
        <w:rPr>
          <w:rFonts w:ascii="Tahoma" w:hAnsi="Tahoma" w:cs="Tahoma"/>
          <w:color w:val="auto"/>
        </w:rPr>
        <w:t xml:space="preserve"> </w:t>
      </w:r>
      <w:r w:rsidRPr="00B65E8C">
        <w:rPr>
          <w:rFonts w:ascii="Tahoma" w:hAnsi="Tahoma" w:cs="Tahoma"/>
          <w:bCs/>
          <w:color w:val="auto"/>
        </w:rPr>
        <w:t>distribuidos entre Gastos de Funcionamiento por $</w:t>
      </w:r>
      <w:r w:rsidR="00264A57">
        <w:rPr>
          <w:rFonts w:ascii="Tahoma" w:hAnsi="Tahoma" w:cs="Tahoma"/>
          <w:bCs/>
          <w:color w:val="auto"/>
        </w:rPr>
        <w:t>3.</w:t>
      </w:r>
      <w:r w:rsidR="00753182">
        <w:rPr>
          <w:rFonts w:ascii="Tahoma" w:hAnsi="Tahoma" w:cs="Tahoma"/>
          <w:bCs/>
          <w:color w:val="auto"/>
        </w:rPr>
        <w:t>374</w:t>
      </w:r>
      <w:r w:rsidR="00264A57">
        <w:rPr>
          <w:rFonts w:ascii="Tahoma" w:hAnsi="Tahoma" w:cs="Tahoma"/>
          <w:bCs/>
          <w:color w:val="auto"/>
        </w:rPr>
        <w:t xml:space="preserve"> millones</w:t>
      </w:r>
      <w:r w:rsidRPr="00B65E8C">
        <w:rPr>
          <w:rFonts w:ascii="Tahoma" w:hAnsi="Tahoma" w:cs="Tahoma"/>
          <w:bCs/>
          <w:color w:val="auto"/>
        </w:rPr>
        <w:t xml:space="preserve"> equivalentes al </w:t>
      </w:r>
      <w:r w:rsidR="009C7A81">
        <w:rPr>
          <w:rFonts w:ascii="Tahoma" w:hAnsi="Tahoma" w:cs="Tahoma"/>
          <w:bCs/>
          <w:color w:val="auto"/>
        </w:rPr>
        <w:t>1</w:t>
      </w:r>
      <w:r w:rsidR="00753182">
        <w:rPr>
          <w:rFonts w:ascii="Tahoma" w:hAnsi="Tahoma" w:cs="Tahoma"/>
          <w:bCs/>
          <w:color w:val="auto"/>
        </w:rPr>
        <w:t>4</w:t>
      </w:r>
      <w:r w:rsidR="009C7A81">
        <w:rPr>
          <w:rFonts w:ascii="Tahoma" w:hAnsi="Tahoma" w:cs="Tahoma"/>
          <w:bCs/>
          <w:color w:val="auto"/>
        </w:rPr>
        <w:t>.2</w:t>
      </w:r>
      <w:r w:rsidR="00753182">
        <w:rPr>
          <w:rFonts w:ascii="Tahoma" w:hAnsi="Tahoma" w:cs="Tahoma"/>
          <w:bCs/>
          <w:color w:val="auto"/>
        </w:rPr>
        <w:t>6</w:t>
      </w:r>
      <w:r w:rsidRPr="00B65E8C">
        <w:rPr>
          <w:rFonts w:ascii="Tahoma" w:hAnsi="Tahoma" w:cs="Tahoma"/>
          <w:bCs/>
          <w:color w:val="auto"/>
        </w:rPr>
        <w:t xml:space="preserve">% e Inversión </w:t>
      </w:r>
      <w:r w:rsidR="009C7A81">
        <w:rPr>
          <w:rFonts w:ascii="Tahoma" w:hAnsi="Tahoma" w:cs="Tahoma"/>
          <w:bCs/>
          <w:color w:val="auto"/>
        </w:rPr>
        <w:t xml:space="preserve">en la suma </w:t>
      </w:r>
      <w:r w:rsidRPr="00B65E8C">
        <w:rPr>
          <w:rFonts w:ascii="Tahoma" w:hAnsi="Tahoma" w:cs="Tahoma"/>
          <w:bCs/>
          <w:color w:val="auto"/>
        </w:rPr>
        <w:t>de $</w:t>
      </w:r>
      <w:r w:rsidR="00753182">
        <w:rPr>
          <w:rFonts w:ascii="Tahoma" w:hAnsi="Tahoma" w:cs="Tahoma"/>
          <w:bCs/>
          <w:color w:val="auto"/>
        </w:rPr>
        <w:t>20.288</w:t>
      </w:r>
      <w:r w:rsidR="00264A57">
        <w:rPr>
          <w:rFonts w:ascii="Tahoma" w:hAnsi="Tahoma" w:cs="Tahoma"/>
          <w:bCs/>
          <w:color w:val="auto"/>
        </w:rPr>
        <w:t xml:space="preserve"> millones</w:t>
      </w:r>
      <w:r w:rsidR="006E5817">
        <w:rPr>
          <w:rFonts w:ascii="Tahoma" w:hAnsi="Tahoma" w:cs="Tahoma"/>
          <w:bCs/>
          <w:color w:val="auto"/>
        </w:rPr>
        <w:t xml:space="preserve"> equivalentes al 8</w:t>
      </w:r>
      <w:r w:rsidR="00753182">
        <w:rPr>
          <w:rFonts w:ascii="Tahoma" w:hAnsi="Tahoma" w:cs="Tahoma"/>
          <w:bCs/>
          <w:color w:val="auto"/>
        </w:rPr>
        <w:t>5</w:t>
      </w:r>
      <w:r w:rsidR="006E5817">
        <w:rPr>
          <w:rFonts w:ascii="Tahoma" w:hAnsi="Tahoma" w:cs="Tahoma"/>
          <w:bCs/>
          <w:color w:val="auto"/>
        </w:rPr>
        <w:t>.7</w:t>
      </w:r>
      <w:r w:rsidR="00753182">
        <w:rPr>
          <w:rFonts w:ascii="Tahoma" w:hAnsi="Tahoma" w:cs="Tahoma"/>
          <w:bCs/>
          <w:color w:val="auto"/>
        </w:rPr>
        <w:t>4</w:t>
      </w:r>
      <w:r w:rsidR="00C01693">
        <w:rPr>
          <w:rFonts w:ascii="Tahoma" w:hAnsi="Tahoma" w:cs="Tahoma"/>
          <w:bCs/>
          <w:color w:val="auto"/>
        </w:rPr>
        <w:t xml:space="preserve">%.  </w:t>
      </w:r>
    </w:p>
    <w:p w:rsidR="00C01693" w:rsidRPr="00565F73" w:rsidRDefault="00C01693" w:rsidP="00C01693">
      <w:pPr>
        <w:spacing w:before="0" w:after="0"/>
        <w:jc w:val="both"/>
        <w:rPr>
          <w:rFonts w:ascii="Tahoma" w:hAnsi="Tahoma" w:cs="Tahoma"/>
          <w:bCs/>
          <w:color w:val="auto"/>
          <w:sz w:val="14"/>
        </w:rPr>
      </w:pPr>
    </w:p>
    <w:p w:rsidR="00001B0E" w:rsidRDefault="00524E1D" w:rsidP="001D6862">
      <w:pPr>
        <w:spacing w:before="0" w:after="0"/>
        <w:jc w:val="both"/>
        <w:rPr>
          <w:rFonts w:ascii="Tahoma" w:hAnsi="Tahoma" w:cs="Tahoma"/>
          <w:color w:val="auto"/>
        </w:rPr>
      </w:pPr>
      <w:r w:rsidRPr="00B65E8C">
        <w:rPr>
          <w:rFonts w:ascii="Tahoma" w:hAnsi="Tahoma" w:cs="Tahoma"/>
          <w:color w:val="auto"/>
        </w:rPr>
        <w:t xml:space="preserve">De los </w:t>
      </w:r>
      <w:r w:rsidR="006C7116">
        <w:rPr>
          <w:rFonts w:ascii="Tahoma" w:hAnsi="Tahoma" w:cs="Tahoma"/>
          <w:color w:val="auto"/>
        </w:rPr>
        <w:t>Gastos de F</w:t>
      </w:r>
      <w:r w:rsidRPr="00B65E8C">
        <w:rPr>
          <w:rFonts w:ascii="Tahoma" w:hAnsi="Tahoma" w:cs="Tahoma"/>
          <w:color w:val="auto"/>
        </w:rPr>
        <w:t xml:space="preserve">uncionamiento se </w:t>
      </w:r>
      <w:r w:rsidR="00C01693">
        <w:rPr>
          <w:rFonts w:ascii="Tahoma" w:hAnsi="Tahoma" w:cs="Tahoma"/>
          <w:color w:val="auto"/>
        </w:rPr>
        <w:t xml:space="preserve">observó que </w:t>
      </w:r>
      <w:r w:rsidR="006C7116">
        <w:rPr>
          <w:rFonts w:ascii="Tahoma" w:hAnsi="Tahoma" w:cs="Tahoma"/>
          <w:color w:val="auto"/>
        </w:rPr>
        <w:t xml:space="preserve">el total comprometido fue  del </w:t>
      </w:r>
      <w:r w:rsidR="00944AFA">
        <w:rPr>
          <w:rFonts w:ascii="Tahoma" w:hAnsi="Tahoma" w:cs="Tahoma"/>
          <w:color w:val="auto"/>
        </w:rPr>
        <w:t>8</w:t>
      </w:r>
      <w:r w:rsidR="00507C8D">
        <w:rPr>
          <w:rFonts w:ascii="Tahoma" w:hAnsi="Tahoma" w:cs="Tahoma"/>
          <w:color w:val="auto"/>
        </w:rPr>
        <w:t>9</w:t>
      </w:r>
      <w:r w:rsidR="006C7116">
        <w:rPr>
          <w:rFonts w:ascii="Tahoma" w:hAnsi="Tahoma" w:cs="Tahoma"/>
          <w:color w:val="auto"/>
        </w:rPr>
        <w:t>.</w:t>
      </w:r>
      <w:r w:rsidR="00944AFA">
        <w:rPr>
          <w:rFonts w:ascii="Tahoma" w:hAnsi="Tahoma" w:cs="Tahoma"/>
          <w:color w:val="auto"/>
        </w:rPr>
        <w:t>3</w:t>
      </w:r>
      <w:r w:rsidR="00507C8D">
        <w:rPr>
          <w:rFonts w:ascii="Tahoma" w:hAnsi="Tahoma" w:cs="Tahoma"/>
          <w:color w:val="auto"/>
        </w:rPr>
        <w:t>0</w:t>
      </w:r>
      <w:r w:rsidR="006C7116">
        <w:rPr>
          <w:rFonts w:ascii="Tahoma" w:hAnsi="Tahoma" w:cs="Tahoma"/>
          <w:color w:val="auto"/>
        </w:rPr>
        <w:t xml:space="preserve">%,  </w:t>
      </w:r>
      <w:r w:rsidR="00C01693">
        <w:rPr>
          <w:rFonts w:ascii="Tahoma" w:hAnsi="Tahoma" w:cs="Tahoma"/>
          <w:color w:val="auto"/>
        </w:rPr>
        <w:t>los compromisos mayores se presentaron en</w:t>
      </w:r>
      <w:r w:rsidR="00001B0E">
        <w:rPr>
          <w:rFonts w:ascii="Tahoma" w:hAnsi="Tahoma" w:cs="Tahoma"/>
          <w:color w:val="auto"/>
        </w:rPr>
        <w:t xml:space="preserve"> los Gastos de Personal $1.</w:t>
      </w:r>
      <w:r w:rsidR="00507C8D">
        <w:rPr>
          <w:rFonts w:ascii="Tahoma" w:hAnsi="Tahoma" w:cs="Tahoma"/>
          <w:color w:val="auto"/>
        </w:rPr>
        <w:t>945</w:t>
      </w:r>
      <w:r w:rsidR="00264A57">
        <w:rPr>
          <w:rFonts w:ascii="Tahoma" w:hAnsi="Tahoma" w:cs="Tahoma"/>
          <w:color w:val="auto"/>
        </w:rPr>
        <w:t xml:space="preserve"> millones</w:t>
      </w:r>
      <w:r w:rsidR="00001B0E">
        <w:rPr>
          <w:rFonts w:ascii="Tahoma" w:hAnsi="Tahoma" w:cs="Tahoma"/>
          <w:color w:val="auto"/>
        </w:rPr>
        <w:t>,  seguidos de</w:t>
      </w:r>
      <w:r w:rsidR="00C01693">
        <w:rPr>
          <w:rFonts w:ascii="Tahoma" w:hAnsi="Tahoma" w:cs="Tahoma"/>
          <w:color w:val="auto"/>
        </w:rPr>
        <w:t xml:space="preserve"> Gastos</w:t>
      </w:r>
      <w:r w:rsidR="00001B0E">
        <w:rPr>
          <w:rFonts w:ascii="Tahoma" w:hAnsi="Tahoma" w:cs="Tahoma"/>
          <w:color w:val="auto"/>
        </w:rPr>
        <w:t xml:space="preserve"> Generales </w:t>
      </w:r>
      <w:r w:rsidR="006C7116">
        <w:rPr>
          <w:rFonts w:ascii="Tahoma" w:hAnsi="Tahoma" w:cs="Tahoma"/>
          <w:color w:val="auto"/>
        </w:rPr>
        <w:t>en</w:t>
      </w:r>
      <w:r w:rsidR="00C01693">
        <w:rPr>
          <w:rFonts w:ascii="Tahoma" w:hAnsi="Tahoma" w:cs="Tahoma"/>
          <w:color w:val="auto"/>
        </w:rPr>
        <w:t xml:space="preserve"> $</w:t>
      </w:r>
      <w:r w:rsidR="00507C8D">
        <w:rPr>
          <w:rFonts w:ascii="Tahoma" w:hAnsi="Tahoma" w:cs="Tahoma"/>
          <w:color w:val="auto"/>
        </w:rPr>
        <w:t>364</w:t>
      </w:r>
      <w:r w:rsidR="00264A57">
        <w:rPr>
          <w:rFonts w:ascii="Tahoma" w:hAnsi="Tahoma" w:cs="Tahoma"/>
          <w:color w:val="auto"/>
        </w:rPr>
        <w:t xml:space="preserve"> millones</w:t>
      </w:r>
      <w:r w:rsidR="00001B0E">
        <w:rPr>
          <w:rFonts w:ascii="Tahoma" w:hAnsi="Tahoma" w:cs="Tahoma"/>
          <w:color w:val="auto"/>
        </w:rPr>
        <w:t xml:space="preserve"> y las Transferencias</w:t>
      </w:r>
      <w:r w:rsidR="006C7116">
        <w:rPr>
          <w:rFonts w:ascii="Tahoma" w:hAnsi="Tahoma" w:cs="Tahoma"/>
          <w:color w:val="auto"/>
        </w:rPr>
        <w:t xml:space="preserve"> por $</w:t>
      </w:r>
      <w:r w:rsidR="00001B0E">
        <w:rPr>
          <w:rFonts w:ascii="Tahoma" w:hAnsi="Tahoma" w:cs="Tahoma"/>
          <w:color w:val="auto"/>
        </w:rPr>
        <w:t>929</w:t>
      </w:r>
      <w:r w:rsidR="00264A57">
        <w:rPr>
          <w:rFonts w:ascii="Tahoma" w:hAnsi="Tahoma" w:cs="Tahoma"/>
          <w:color w:val="auto"/>
        </w:rPr>
        <w:t xml:space="preserve"> millones</w:t>
      </w:r>
      <w:r w:rsidR="00001B0E">
        <w:rPr>
          <w:rFonts w:ascii="Tahoma" w:hAnsi="Tahoma" w:cs="Tahoma"/>
          <w:color w:val="auto"/>
        </w:rPr>
        <w:t>.</w:t>
      </w:r>
    </w:p>
    <w:p w:rsidR="00C01693" w:rsidRDefault="00001B0E" w:rsidP="001D6862">
      <w:pPr>
        <w:spacing w:before="0" w:after="0"/>
        <w:jc w:val="both"/>
        <w:rPr>
          <w:rFonts w:ascii="Tahoma" w:hAnsi="Tahoma" w:cs="Tahoma"/>
          <w:color w:val="auto"/>
        </w:rPr>
      </w:pPr>
      <w:r>
        <w:rPr>
          <w:rFonts w:ascii="Tahoma" w:hAnsi="Tahoma" w:cs="Tahoma"/>
          <w:color w:val="auto"/>
        </w:rPr>
        <w:t xml:space="preserve"> </w:t>
      </w:r>
    </w:p>
    <w:p w:rsidR="00231ECA" w:rsidRDefault="003B030A" w:rsidP="001D6862">
      <w:pPr>
        <w:spacing w:before="0" w:after="0"/>
        <w:jc w:val="both"/>
        <w:rPr>
          <w:rFonts w:ascii="Tahoma" w:hAnsi="Tahoma" w:cs="Tahoma"/>
          <w:color w:val="auto"/>
        </w:rPr>
      </w:pPr>
      <w:r>
        <w:rPr>
          <w:rFonts w:ascii="Tahoma" w:hAnsi="Tahoma" w:cs="Tahoma"/>
          <w:color w:val="auto"/>
        </w:rPr>
        <w:t>De l</w:t>
      </w:r>
      <w:r w:rsidR="006C7116">
        <w:rPr>
          <w:rFonts w:ascii="Tahoma" w:hAnsi="Tahoma" w:cs="Tahoma"/>
          <w:color w:val="auto"/>
        </w:rPr>
        <w:t>os Gastos de I</w:t>
      </w:r>
      <w:r w:rsidR="00524E1D" w:rsidRPr="009C7C0D">
        <w:rPr>
          <w:rFonts w:ascii="Tahoma" w:hAnsi="Tahoma" w:cs="Tahoma"/>
          <w:color w:val="auto"/>
        </w:rPr>
        <w:t>nversión</w:t>
      </w:r>
      <w:r>
        <w:rPr>
          <w:rFonts w:ascii="Tahoma" w:hAnsi="Tahoma" w:cs="Tahoma"/>
          <w:color w:val="auto"/>
        </w:rPr>
        <w:t xml:space="preserve"> se observó que</w:t>
      </w:r>
      <w:r w:rsidR="006C7116">
        <w:rPr>
          <w:rFonts w:ascii="Tahoma" w:hAnsi="Tahoma" w:cs="Tahoma"/>
          <w:color w:val="auto"/>
        </w:rPr>
        <w:t xml:space="preserve"> el total comprometido fue del</w:t>
      </w:r>
      <w:r w:rsidR="00482348">
        <w:rPr>
          <w:rFonts w:ascii="Tahoma" w:hAnsi="Tahoma" w:cs="Tahoma"/>
          <w:color w:val="auto"/>
        </w:rPr>
        <w:t xml:space="preserve"> </w:t>
      </w:r>
      <w:r w:rsidR="00D53A05">
        <w:rPr>
          <w:rFonts w:ascii="Tahoma" w:hAnsi="Tahoma" w:cs="Tahoma"/>
          <w:color w:val="auto"/>
        </w:rPr>
        <w:t>65.54</w:t>
      </w:r>
      <w:r w:rsidR="00482348">
        <w:rPr>
          <w:rFonts w:ascii="Tahoma" w:hAnsi="Tahoma" w:cs="Tahoma"/>
          <w:color w:val="auto"/>
        </w:rPr>
        <w:t>%</w:t>
      </w:r>
      <w:r w:rsidR="00524E1D" w:rsidRPr="009C7C0D">
        <w:rPr>
          <w:rFonts w:ascii="Tahoma" w:hAnsi="Tahoma" w:cs="Tahoma"/>
          <w:color w:val="auto"/>
        </w:rPr>
        <w:t xml:space="preserve">, </w:t>
      </w:r>
      <w:r w:rsidR="003D4B2C">
        <w:rPr>
          <w:rFonts w:ascii="Tahoma" w:hAnsi="Tahoma" w:cs="Tahoma"/>
          <w:color w:val="auto"/>
        </w:rPr>
        <w:t xml:space="preserve">la mayor inversión se realizó en el sector Salud </w:t>
      </w:r>
      <w:r w:rsidR="00FA47DA">
        <w:rPr>
          <w:rFonts w:ascii="Tahoma" w:hAnsi="Tahoma" w:cs="Tahoma"/>
          <w:color w:val="auto"/>
        </w:rPr>
        <w:t>con</w:t>
      </w:r>
      <w:r w:rsidR="00075575">
        <w:rPr>
          <w:rFonts w:ascii="Tahoma" w:hAnsi="Tahoma" w:cs="Tahoma"/>
          <w:color w:val="auto"/>
        </w:rPr>
        <w:t xml:space="preserve"> la suma de </w:t>
      </w:r>
      <w:r w:rsidR="00264A57">
        <w:rPr>
          <w:rFonts w:ascii="Tahoma" w:hAnsi="Tahoma" w:cs="Tahoma"/>
          <w:color w:val="auto"/>
        </w:rPr>
        <w:t>$</w:t>
      </w:r>
      <w:r w:rsidR="0088224E">
        <w:rPr>
          <w:rFonts w:ascii="Tahoma" w:hAnsi="Tahoma" w:cs="Tahoma"/>
          <w:color w:val="auto"/>
        </w:rPr>
        <w:t>8.088</w:t>
      </w:r>
      <w:r w:rsidR="00264A57">
        <w:rPr>
          <w:rFonts w:ascii="Tahoma" w:hAnsi="Tahoma" w:cs="Tahoma"/>
          <w:color w:val="auto"/>
        </w:rPr>
        <w:t xml:space="preserve"> millones</w:t>
      </w:r>
      <w:r w:rsidR="003D4B2C" w:rsidRPr="00264A57">
        <w:rPr>
          <w:rFonts w:ascii="Tahoma" w:hAnsi="Tahoma" w:cs="Tahoma"/>
          <w:color w:val="auto"/>
        </w:rPr>
        <w:t>, seguida de</w:t>
      </w:r>
      <w:r w:rsidR="003D4B2C">
        <w:rPr>
          <w:rFonts w:ascii="Tahoma" w:hAnsi="Tahoma" w:cs="Tahoma"/>
          <w:color w:val="auto"/>
        </w:rPr>
        <w:t xml:space="preserve">  </w:t>
      </w:r>
      <w:r w:rsidR="005B4AEC">
        <w:rPr>
          <w:rFonts w:ascii="Tahoma" w:hAnsi="Tahoma" w:cs="Tahoma"/>
          <w:color w:val="auto"/>
        </w:rPr>
        <w:t xml:space="preserve">las Reservas presupuestales con $6.016 millones, Vivienda $1.375 millones, </w:t>
      </w:r>
      <w:r w:rsidR="00FA47DA">
        <w:rPr>
          <w:rFonts w:ascii="Tahoma" w:hAnsi="Tahoma" w:cs="Tahoma"/>
          <w:color w:val="auto"/>
        </w:rPr>
        <w:t>Educación con $</w:t>
      </w:r>
      <w:r w:rsidR="005B4AEC">
        <w:rPr>
          <w:rFonts w:ascii="Tahoma" w:hAnsi="Tahoma" w:cs="Tahoma"/>
          <w:color w:val="auto"/>
        </w:rPr>
        <w:t>1.334</w:t>
      </w:r>
      <w:r w:rsidR="00264A57">
        <w:rPr>
          <w:rFonts w:ascii="Tahoma" w:hAnsi="Tahoma" w:cs="Tahoma"/>
          <w:color w:val="auto"/>
        </w:rPr>
        <w:t xml:space="preserve"> millones</w:t>
      </w:r>
      <w:r w:rsidR="00FA47DA">
        <w:rPr>
          <w:rFonts w:ascii="Tahoma" w:hAnsi="Tahoma" w:cs="Tahoma"/>
          <w:color w:val="auto"/>
        </w:rPr>
        <w:t xml:space="preserve">,  </w:t>
      </w:r>
      <w:r w:rsidR="005B4AEC">
        <w:rPr>
          <w:rFonts w:ascii="Tahoma" w:hAnsi="Tahoma" w:cs="Tahoma"/>
          <w:color w:val="auto"/>
        </w:rPr>
        <w:t xml:space="preserve">Desarrollo Institucional $1.251, </w:t>
      </w:r>
      <w:r w:rsidR="00FA47DA">
        <w:rPr>
          <w:rFonts w:ascii="Tahoma" w:hAnsi="Tahoma" w:cs="Tahoma"/>
          <w:color w:val="auto"/>
        </w:rPr>
        <w:t>Agua Potable y Saneamiento Básico con $</w:t>
      </w:r>
      <w:r w:rsidR="005B4AEC">
        <w:rPr>
          <w:rFonts w:ascii="Tahoma" w:hAnsi="Tahoma" w:cs="Tahoma"/>
          <w:color w:val="auto"/>
        </w:rPr>
        <w:t>671</w:t>
      </w:r>
      <w:r w:rsidR="00264A57">
        <w:rPr>
          <w:rFonts w:ascii="Tahoma" w:hAnsi="Tahoma" w:cs="Tahoma"/>
          <w:color w:val="auto"/>
        </w:rPr>
        <w:t xml:space="preserve"> millones</w:t>
      </w:r>
      <w:r w:rsidR="00285A8B">
        <w:rPr>
          <w:rFonts w:ascii="Tahoma" w:hAnsi="Tahoma" w:cs="Tahoma"/>
          <w:color w:val="auto"/>
        </w:rPr>
        <w:t xml:space="preserve"> y </w:t>
      </w:r>
      <w:r w:rsidR="005B4AEC">
        <w:rPr>
          <w:rFonts w:ascii="Tahoma" w:hAnsi="Tahoma" w:cs="Tahoma"/>
          <w:color w:val="auto"/>
        </w:rPr>
        <w:t>medio ambiente 319</w:t>
      </w:r>
      <w:r w:rsidR="00264A57">
        <w:rPr>
          <w:rFonts w:ascii="Tahoma" w:hAnsi="Tahoma" w:cs="Tahoma"/>
          <w:color w:val="auto"/>
        </w:rPr>
        <w:t xml:space="preserve"> millones</w:t>
      </w:r>
      <w:r w:rsidR="005B4AEC">
        <w:rPr>
          <w:rFonts w:ascii="Tahoma" w:hAnsi="Tahoma" w:cs="Tahoma"/>
          <w:color w:val="auto"/>
        </w:rPr>
        <w:t>.</w:t>
      </w:r>
    </w:p>
    <w:p w:rsidR="005B4AEC" w:rsidRDefault="005B4AEC" w:rsidP="001D6862">
      <w:pPr>
        <w:spacing w:before="0" w:after="0"/>
        <w:jc w:val="both"/>
        <w:rPr>
          <w:rFonts w:ascii="Tahoma" w:hAnsi="Tahoma" w:cs="Tahoma"/>
          <w:b/>
          <w:bCs/>
          <w:color w:val="auto"/>
        </w:rPr>
      </w:pPr>
    </w:p>
    <w:p w:rsidR="00285A8B" w:rsidRDefault="00285A8B" w:rsidP="001D6862">
      <w:pPr>
        <w:spacing w:before="0" w:after="0"/>
        <w:jc w:val="both"/>
        <w:rPr>
          <w:rFonts w:ascii="Tahoma" w:hAnsi="Tahoma" w:cs="Tahoma"/>
          <w:b/>
          <w:bCs/>
          <w:color w:val="auto"/>
        </w:rPr>
      </w:pPr>
    </w:p>
    <w:p w:rsidR="00285A8B" w:rsidRDefault="00285A8B" w:rsidP="001D6862">
      <w:pPr>
        <w:spacing w:before="0" w:after="0"/>
        <w:jc w:val="both"/>
        <w:rPr>
          <w:rFonts w:ascii="Tahoma" w:hAnsi="Tahoma" w:cs="Tahoma"/>
          <w:b/>
          <w:bCs/>
          <w:color w:val="auto"/>
        </w:rPr>
      </w:pPr>
    </w:p>
    <w:p w:rsidR="00285A8B" w:rsidRDefault="00285A8B" w:rsidP="001D6862">
      <w:pPr>
        <w:spacing w:before="0" w:after="0"/>
        <w:jc w:val="both"/>
        <w:rPr>
          <w:rFonts w:ascii="Tahoma" w:hAnsi="Tahoma" w:cs="Tahoma"/>
          <w:b/>
          <w:bCs/>
          <w:color w:val="auto"/>
        </w:rPr>
      </w:pPr>
    </w:p>
    <w:p w:rsidR="00285A8B" w:rsidRDefault="00285A8B" w:rsidP="001D6862">
      <w:pPr>
        <w:spacing w:before="0" w:after="0"/>
        <w:jc w:val="both"/>
        <w:rPr>
          <w:rFonts w:ascii="Tahoma" w:hAnsi="Tahoma" w:cs="Tahoma"/>
          <w:b/>
          <w:bCs/>
          <w:color w:val="auto"/>
        </w:rPr>
      </w:pPr>
    </w:p>
    <w:p w:rsidR="00285A8B" w:rsidRDefault="00285A8B" w:rsidP="001D6862">
      <w:pPr>
        <w:spacing w:before="0" w:after="0"/>
        <w:jc w:val="both"/>
        <w:rPr>
          <w:rFonts w:ascii="Tahoma" w:hAnsi="Tahoma" w:cs="Tahoma"/>
          <w:b/>
          <w:bCs/>
          <w:color w:val="auto"/>
        </w:rPr>
      </w:pPr>
    </w:p>
    <w:p w:rsidR="00285A8B" w:rsidRDefault="00285A8B" w:rsidP="001D6862">
      <w:pPr>
        <w:spacing w:before="0" w:after="0"/>
        <w:jc w:val="both"/>
        <w:rPr>
          <w:rFonts w:ascii="Tahoma" w:hAnsi="Tahoma" w:cs="Tahoma"/>
          <w:b/>
          <w:bCs/>
          <w:color w:val="auto"/>
        </w:rPr>
      </w:pPr>
    </w:p>
    <w:p w:rsidR="00285A8B" w:rsidRDefault="00285A8B" w:rsidP="001D6862">
      <w:pPr>
        <w:spacing w:before="0" w:after="0"/>
        <w:jc w:val="both"/>
        <w:rPr>
          <w:rFonts w:ascii="Tahoma" w:hAnsi="Tahoma" w:cs="Tahoma"/>
          <w:b/>
          <w:bCs/>
          <w:color w:val="auto"/>
        </w:rPr>
      </w:pPr>
    </w:p>
    <w:p w:rsidR="00040B1A" w:rsidRPr="00E71D96" w:rsidRDefault="00454315" w:rsidP="001D6862">
      <w:pPr>
        <w:spacing w:before="0" w:after="0"/>
        <w:jc w:val="both"/>
        <w:rPr>
          <w:rFonts w:ascii="Tahoma" w:hAnsi="Tahoma" w:cs="Tahoma"/>
          <w:b/>
          <w:bCs/>
          <w:color w:val="auto"/>
        </w:rPr>
      </w:pPr>
      <w:r w:rsidRPr="00E71D96">
        <w:rPr>
          <w:rFonts w:ascii="Tahoma" w:hAnsi="Tahoma" w:cs="Tahoma"/>
          <w:b/>
          <w:bCs/>
          <w:color w:val="auto"/>
        </w:rPr>
        <w:t xml:space="preserve">COMPARATIVO DE </w:t>
      </w:r>
      <w:r w:rsidR="00926286">
        <w:rPr>
          <w:rFonts w:ascii="Tahoma" w:hAnsi="Tahoma" w:cs="Tahoma"/>
          <w:b/>
          <w:bCs/>
          <w:color w:val="auto"/>
        </w:rPr>
        <w:t>G</w:t>
      </w:r>
      <w:r w:rsidR="00F5220F">
        <w:rPr>
          <w:rFonts w:ascii="Tahoma" w:hAnsi="Tahoma" w:cs="Tahoma"/>
          <w:b/>
          <w:bCs/>
          <w:color w:val="auto"/>
        </w:rPr>
        <w:t>A</w:t>
      </w:r>
      <w:r w:rsidR="00926286">
        <w:rPr>
          <w:rFonts w:ascii="Tahoma" w:hAnsi="Tahoma" w:cs="Tahoma"/>
          <w:b/>
          <w:bCs/>
          <w:color w:val="auto"/>
        </w:rPr>
        <w:t>STOS COMPROMETIDOS</w:t>
      </w:r>
      <w:r w:rsidRPr="00E71D96">
        <w:rPr>
          <w:rFonts w:ascii="Tahoma" w:hAnsi="Tahoma" w:cs="Tahoma"/>
          <w:b/>
          <w:bCs/>
          <w:color w:val="auto"/>
        </w:rPr>
        <w:t xml:space="preserve"> 2014 – 2015</w:t>
      </w:r>
    </w:p>
    <w:p w:rsidR="00454315" w:rsidRDefault="00454315" w:rsidP="001D6862">
      <w:pPr>
        <w:spacing w:before="0" w:after="0"/>
        <w:jc w:val="both"/>
        <w:rPr>
          <w:rFonts w:ascii="Tahoma" w:hAnsi="Tahoma" w:cs="Tahoma"/>
          <w:bCs/>
          <w:color w:val="auto"/>
        </w:rPr>
      </w:pPr>
    </w:p>
    <w:p w:rsidR="00454315" w:rsidRDefault="009C3E29" w:rsidP="001D6862">
      <w:pPr>
        <w:spacing w:before="0" w:after="0"/>
        <w:jc w:val="both"/>
        <w:rPr>
          <w:rFonts w:ascii="Tahoma" w:hAnsi="Tahoma" w:cs="Tahoma"/>
          <w:bCs/>
          <w:color w:val="auto"/>
        </w:rPr>
      </w:pPr>
      <w:r w:rsidRPr="009C3E29">
        <w:rPr>
          <w:noProof/>
        </w:rPr>
        <w:drawing>
          <wp:inline distT="0" distB="0" distL="0" distR="0" wp14:anchorId="3E7F8E3A" wp14:editId="3E80294D">
            <wp:extent cx="5612130" cy="1345565"/>
            <wp:effectExtent l="0" t="0" r="7620" b="698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612130" cy="1345565"/>
                    </a:xfrm>
                    <a:prstGeom prst="rect">
                      <a:avLst/>
                    </a:prstGeom>
                  </pic:spPr>
                </pic:pic>
              </a:graphicData>
            </a:graphic>
          </wp:inline>
        </w:drawing>
      </w:r>
    </w:p>
    <w:p w:rsidR="0014403D" w:rsidRDefault="0014403D" w:rsidP="001D6862">
      <w:pPr>
        <w:spacing w:before="0" w:after="0"/>
        <w:jc w:val="both"/>
        <w:rPr>
          <w:rFonts w:ascii="Tahoma" w:hAnsi="Tahoma" w:cs="Tahoma"/>
          <w:bCs/>
          <w:color w:val="auto"/>
        </w:rPr>
      </w:pPr>
    </w:p>
    <w:p w:rsidR="00D76FA2" w:rsidRDefault="00D76FA2" w:rsidP="001D6862">
      <w:pPr>
        <w:spacing w:before="0" w:after="0"/>
        <w:jc w:val="both"/>
        <w:rPr>
          <w:rFonts w:ascii="Tahoma" w:hAnsi="Tahoma" w:cs="Tahoma"/>
          <w:bCs/>
          <w:color w:val="auto"/>
        </w:rPr>
      </w:pPr>
      <w:r>
        <w:rPr>
          <w:rFonts w:ascii="Tahoma" w:hAnsi="Tahoma" w:cs="Tahoma"/>
          <w:bCs/>
          <w:color w:val="auto"/>
        </w:rPr>
        <w:t xml:space="preserve">De lo anterior se pudo observar que </w:t>
      </w:r>
      <w:r w:rsidR="009C3E29">
        <w:rPr>
          <w:rFonts w:ascii="Tahoma" w:hAnsi="Tahoma" w:cs="Tahoma"/>
          <w:bCs/>
          <w:color w:val="auto"/>
        </w:rPr>
        <w:t xml:space="preserve">el presupuesto total comprometido </w:t>
      </w:r>
      <w:r w:rsidR="007E35B4">
        <w:rPr>
          <w:rFonts w:ascii="Tahoma" w:hAnsi="Tahoma" w:cs="Tahoma"/>
          <w:bCs/>
          <w:color w:val="auto"/>
        </w:rPr>
        <w:t>de la vigencia 2015</w:t>
      </w:r>
      <w:r w:rsidR="009C3E29">
        <w:rPr>
          <w:rFonts w:ascii="Tahoma" w:hAnsi="Tahoma" w:cs="Tahoma"/>
          <w:bCs/>
          <w:color w:val="auto"/>
        </w:rPr>
        <w:t xml:space="preserve">, fue inferior al de la vigencia 2014, </w:t>
      </w:r>
      <w:r w:rsidR="00E15E67">
        <w:rPr>
          <w:rFonts w:ascii="Tahoma" w:hAnsi="Tahoma" w:cs="Tahoma"/>
          <w:bCs/>
          <w:color w:val="auto"/>
        </w:rPr>
        <w:t xml:space="preserve"> tuvo un</w:t>
      </w:r>
      <w:r w:rsidR="009C3E29">
        <w:rPr>
          <w:rFonts w:ascii="Tahoma" w:hAnsi="Tahoma" w:cs="Tahoma"/>
          <w:bCs/>
          <w:color w:val="auto"/>
        </w:rPr>
        <w:t>a</w:t>
      </w:r>
      <w:r w:rsidR="00E15E67">
        <w:rPr>
          <w:rFonts w:ascii="Tahoma" w:hAnsi="Tahoma" w:cs="Tahoma"/>
          <w:bCs/>
          <w:color w:val="auto"/>
        </w:rPr>
        <w:t xml:space="preserve"> </w:t>
      </w:r>
      <w:r w:rsidR="00754D05">
        <w:rPr>
          <w:rFonts w:ascii="Tahoma" w:hAnsi="Tahoma" w:cs="Tahoma"/>
          <w:bCs/>
          <w:color w:val="auto"/>
        </w:rPr>
        <w:t>disminución</w:t>
      </w:r>
      <w:r w:rsidR="009C3E29">
        <w:rPr>
          <w:rFonts w:ascii="Tahoma" w:hAnsi="Tahoma" w:cs="Tahoma"/>
          <w:bCs/>
          <w:color w:val="auto"/>
        </w:rPr>
        <w:t xml:space="preserve"> total</w:t>
      </w:r>
      <w:r w:rsidR="00E15E67">
        <w:rPr>
          <w:rFonts w:ascii="Tahoma" w:hAnsi="Tahoma" w:cs="Tahoma"/>
          <w:bCs/>
          <w:color w:val="auto"/>
        </w:rPr>
        <w:t xml:space="preserve"> del </w:t>
      </w:r>
      <w:r w:rsidR="009C3E29">
        <w:rPr>
          <w:rFonts w:ascii="Tahoma" w:hAnsi="Tahoma" w:cs="Tahoma"/>
          <w:bCs/>
          <w:color w:val="auto"/>
        </w:rPr>
        <w:t>7.77%</w:t>
      </w:r>
      <w:r w:rsidR="009B4265">
        <w:rPr>
          <w:rFonts w:ascii="Tahoma" w:hAnsi="Tahoma" w:cs="Tahoma"/>
          <w:bCs/>
          <w:color w:val="auto"/>
        </w:rPr>
        <w:t>%</w:t>
      </w:r>
      <w:r w:rsidR="009C3E29">
        <w:rPr>
          <w:rFonts w:ascii="Tahoma" w:hAnsi="Tahoma" w:cs="Tahoma"/>
          <w:bCs/>
          <w:color w:val="auto"/>
        </w:rPr>
        <w:t xml:space="preserve"> donde los gastos de inversión disminuyeron en un 10.59%</w:t>
      </w:r>
      <w:r w:rsidR="00E15E67">
        <w:rPr>
          <w:rFonts w:ascii="Tahoma" w:hAnsi="Tahoma" w:cs="Tahoma"/>
          <w:bCs/>
          <w:color w:val="auto"/>
        </w:rPr>
        <w:t xml:space="preserve">, </w:t>
      </w:r>
      <w:r w:rsidR="009C3E29">
        <w:rPr>
          <w:rFonts w:ascii="Tahoma" w:hAnsi="Tahoma" w:cs="Tahoma"/>
          <w:bCs/>
          <w:color w:val="auto"/>
        </w:rPr>
        <w:t>aunque los gastos de personal, gastos generales y transferencias aumentaron.</w:t>
      </w:r>
    </w:p>
    <w:p w:rsidR="00D95BCE" w:rsidRPr="00741448" w:rsidRDefault="00D95BCE" w:rsidP="001D6862">
      <w:pPr>
        <w:spacing w:before="0" w:after="0"/>
        <w:jc w:val="center"/>
        <w:rPr>
          <w:rFonts w:ascii="Tahoma" w:hAnsi="Tahoma" w:cs="Tahoma"/>
          <w:b/>
        </w:rPr>
      </w:pPr>
    </w:p>
    <w:p w:rsidR="00524E1D" w:rsidRPr="00E924E2" w:rsidRDefault="005D655F" w:rsidP="001D6862">
      <w:pPr>
        <w:spacing w:before="0" w:after="0"/>
        <w:jc w:val="center"/>
        <w:rPr>
          <w:rFonts w:ascii="Tahoma" w:hAnsi="Tahoma" w:cs="Tahoma"/>
          <w:b/>
        </w:rPr>
      </w:pPr>
      <w:r w:rsidRPr="00741448">
        <w:rPr>
          <w:rFonts w:ascii="Tahoma" w:hAnsi="Tahoma" w:cs="Tahoma"/>
          <w:b/>
        </w:rPr>
        <w:t>C</w:t>
      </w:r>
      <w:r w:rsidR="00524E1D" w:rsidRPr="00741448">
        <w:rPr>
          <w:rFonts w:ascii="Tahoma" w:hAnsi="Tahoma" w:cs="Tahoma"/>
          <w:b/>
        </w:rPr>
        <w:t>APITULO 3</w:t>
      </w:r>
    </w:p>
    <w:p w:rsidR="00524E1D" w:rsidRPr="00E924E2" w:rsidRDefault="00524E1D" w:rsidP="001D6862">
      <w:pPr>
        <w:spacing w:before="0" w:after="0"/>
        <w:rPr>
          <w:rFonts w:ascii="Tahoma" w:hAnsi="Tahoma" w:cs="Tahoma"/>
          <w:b/>
        </w:rPr>
      </w:pPr>
    </w:p>
    <w:p w:rsidR="00E56795" w:rsidRDefault="00E56795" w:rsidP="001D6862">
      <w:pPr>
        <w:spacing w:before="0" w:after="0"/>
        <w:jc w:val="both"/>
        <w:rPr>
          <w:rFonts w:ascii="Tahoma" w:hAnsi="Tahoma" w:cs="Tahoma"/>
          <w:b/>
        </w:rPr>
      </w:pPr>
    </w:p>
    <w:p w:rsidR="00524E1D" w:rsidRDefault="00524E1D" w:rsidP="001D6862">
      <w:pPr>
        <w:spacing w:before="0" w:after="0"/>
        <w:jc w:val="both"/>
        <w:rPr>
          <w:rFonts w:ascii="Tahoma" w:hAnsi="Tahoma" w:cs="Tahoma"/>
          <w:b/>
        </w:rPr>
      </w:pPr>
      <w:r w:rsidRPr="00E924E2">
        <w:rPr>
          <w:rFonts w:ascii="Tahoma" w:hAnsi="Tahoma" w:cs="Tahoma"/>
          <w:b/>
        </w:rPr>
        <w:t>VIABILDIAD FINANCIERA</w:t>
      </w:r>
    </w:p>
    <w:p w:rsidR="00C46A08" w:rsidRDefault="00C46A08" w:rsidP="001D6862">
      <w:pPr>
        <w:spacing w:before="0" w:after="0"/>
        <w:jc w:val="both"/>
        <w:rPr>
          <w:rFonts w:ascii="Tahoma" w:hAnsi="Tahoma" w:cs="Tahoma"/>
          <w:b/>
        </w:rPr>
      </w:pPr>
    </w:p>
    <w:p w:rsidR="00EE23CA" w:rsidRDefault="00EE23CA" w:rsidP="00E56795">
      <w:pPr>
        <w:spacing w:before="0" w:after="0"/>
        <w:jc w:val="both"/>
      </w:pPr>
    </w:p>
    <w:p w:rsidR="00E56795" w:rsidRPr="00741448" w:rsidRDefault="00B24EC6" w:rsidP="00E56795">
      <w:pPr>
        <w:spacing w:before="0" w:after="0"/>
        <w:jc w:val="both"/>
      </w:pPr>
      <w:r>
        <w:t xml:space="preserve">El Municipio de </w:t>
      </w:r>
      <w:r w:rsidR="009C3E29">
        <w:t>Honda</w:t>
      </w:r>
      <w:r w:rsidR="00C47D9E">
        <w:t xml:space="preserve"> está clasificado en Sexta (6) categoría y  el límite de los gastos de funcionamiento como proporción de sus ingresos corrientes de libre destinación es hasta un 80%, donde los  Gastos de funcionamiento no podrán superar el límite como proporción a sus ingresos corrientes de libre destinación</w:t>
      </w:r>
      <w:r w:rsidR="00E56795">
        <w:t xml:space="preserve"> </w:t>
      </w:r>
      <w:r w:rsidR="00E56795" w:rsidRPr="00741448">
        <w:t xml:space="preserve">según lo establecido en la Ley 617 de 2000.  </w:t>
      </w:r>
    </w:p>
    <w:p w:rsidR="00E56795" w:rsidRDefault="00E56795" w:rsidP="00E56795">
      <w:pPr>
        <w:spacing w:before="0" w:after="0"/>
        <w:jc w:val="both"/>
      </w:pPr>
    </w:p>
    <w:p w:rsidR="00C47D9E" w:rsidRPr="00E924E2" w:rsidRDefault="00C47D9E" w:rsidP="00C47D9E">
      <w:pPr>
        <w:spacing w:before="0" w:after="0"/>
        <w:jc w:val="both"/>
        <w:rPr>
          <w:rFonts w:ascii="Tahoma" w:hAnsi="Tahoma" w:cs="Tahoma"/>
          <w:b/>
        </w:rPr>
      </w:pPr>
    </w:p>
    <w:p w:rsidR="00524E1D" w:rsidRPr="00E924E2" w:rsidRDefault="00524E1D" w:rsidP="001D6862">
      <w:pPr>
        <w:pStyle w:val="NormalWeb"/>
        <w:spacing w:before="0" w:beforeAutospacing="0" w:after="0" w:afterAutospacing="0"/>
        <w:jc w:val="both"/>
        <w:rPr>
          <w:rFonts w:ascii="Tahoma" w:hAnsi="Tahoma" w:cs="Tahoma"/>
          <w:b/>
          <w:sz w:val="22"/>
          <w:szCs w:val="22"/>
        </w:rPr>
      </w:pPr>
      <w:r w:rsidRPr="00E924E2">
        <w:rPr>
          <w:rFonts w:ascii="Tahoma" w:hAnsi="Tahoma" w:cs="Tahoma"/>
          <w:b/>
          <w:bCs/>
          <w:sz w:val="22"/>
          <w:szCs w:val="22"/>
        </w:rPr>
        <w:t>3.</w:t>
      </w:r>
      <w:r w:rsidR="00E56795">
        <w:rPr>
          <w:rFonts w:ascii="Tahoma" w:hAnsi="Tahoma" w:cs="Tahoma"/>
          <w:b/>
          <w:bCs/>
          <w:sz w:val="22"/>
          <w:szCs w:val="22"/>
        </w:rPr>
        <w:t>1</w:t>
      </w:r>
      <w:r w:rsidRPr="00E924E2">
        <w:rPr>
          <w:rFonts w:ascii="Tahoma" w:hAnsi="Tahoma" w:cs="Tahoma"/>
          <w:b/>
          <w:bCs/>
          <w:sz w:val="22"/>
          <w:szCs w:val="22"/>
        </w:rPr>
        <w:t xml:space="preserve">  </w:t>
      </w:r>
      <w:r w:rsidR="00741448">
        <w:rPr>
          <w:rFonts w:ascii="Tahoma" w:hAnsi="Tahoma" w:cs="Tahoma"/>
          <w:b/>
          <w:bCs/>
          <w:sz w:val="22"/>
          <w:szCs w:val="22"/>
        </w:rPr>
        <w:t>Indicador de Gastos de</w:t>
      </w:r>
      <w:r w:rsidRPr="00E924E2">
        <w:rPr>
          <w:rFonts w:ascii="Tahoma" w:hAnsi="Tahoma" w:cs="Tahoma"/>
          <w:b/>
          <w:sz w:val="22"/>
          <w:szCs w:val="22"/>
        </w:rPr>
        <w:t xml:space="preserve"> Funcionamiento</w:t>
      </w:r>
      <w:r w:rsidR="00741448">
        <w:rPr>
          <w:rFonts w:ascii="Tahoma" w:hAnsi="Tahoma" w:cs="Tahoma"/>
          <w:b/>
          <w:sz w:val="22"/>
          <w:szCs w:val="22"/>
        </w:rPr>
        <w:t xml:space="preserve">  VS  I.C.L.D</w:t>
      </w:r>
    </w:p>
    <w:p w:rsidR="00741448" w:rsidRDefault="00741448" w:rsidP="00741448">
      <w:pPr>
        <w:pStyle w:val="NormalWeb"/>
        <w:spacing w:before="0" w:beforeAutospacing="0" w:after="0" w:afterAutospacing="0"/>
        <w:rPr>
          <w:rFonts w:ascii="Tahoma" w:hAnsi="Tahoma" w:cs="Tahoma"/>
          <w:b/>
          <w:sz w:val="22"/>
          <w:szCs w:val="22"/>
        </w:rPr>
      </w:pPr>
    </w:p>
    <w:p w:rsidR="00EE23CA" w:rsidRDefault="00EE23CA" w:rsidP="00741448">
      <w:pPr>
        <w:pStyle w:val="NormalWeb"/>
        <w:spacing w:before="0" w:beforeAutospacing="0" w:after="0" w:afterAutospacing="0"/>
        <w:rPr>
          <w:rFonts w:ascii="Tahoma" w:hAnsi="Tahoma" w:cs="Tahoma"/>
          <w:b/>
          <w:sz w:val="22"/>
          <w:szCs w:val="22"/>
        </w:rPr>
      </w:pPr>
    </w:p>
    <w:p w:rsidR="00524E1D" w:rsidRDefault="00524E1D" w:rsidP="00741448">
      <w:pPr>
        <w:pStyle w:val="NormalWeb"/>
        <w:spacing w:before="0" w:beforeAutospacing="0" w:after="0" w:afterAutospacing="0"/>
        <w:rPr>
          <w:rFonts w:ascii="Tahoma" w:hAnsi="Tahoma" w:cs="Tahoma"/>
          <w:b/>
          <w:sz w:val="22"/>
          <w:szCs w:val="22"/>
        </w:rPr>
      </w:pPr>
      <w:r w:rsidRPr="00E924E2">
        <w:rPr>
          <w:rFonts w:ascii="Tahoma" w:hAnsi="Tahoma" w:cs="Tahoma"/>
          <w:b/>
          <w:sz w:val="22"/>
          <w:szCs w:val="22"/>
        </w:rPr>
        <w:t xml:space="preserve">Gastos de Funcionamiento / Ingresos Corriente Libre Destinación </w:t>
      </w:r>
    </w:p>
    <w:p w:rsidR="00C47D9E" w:rsidRDefault="00C47D9E" w:rsidP="00741448">
      <w:pPr>
        <w:pStyle w:val="NormalWeb"/>
        <w:spacing w:before="0" w:beforeAutospacing="0" w:after="0" w:afterAutospacing="0"/>
        <w:rPr>
          <w:rFonts w:ascii="Tahoma" w:hAnsi="Tahoma" w:cs="Tahoma"/>
          <w:b/>
          <w:sz w:val="22"/>
          <w:szCs w:val="22"/>
        </w:rPr>
      </w:pPr>
    </w:p>
    <w:p w:rsidR="00C47D9E" w:rsidRDefault="00C47D9E" w:rsidP="00741448">
      <w:pPr>
        <w:pStyle w:val="NormalWeb"/>
        <w:spacing w:before="0" w:beforeAutospacing="0" w:after="0" w:afterAutospacing="0"/>
      </w:pPr>
    </w:p>
    <w:p w:rsidR="00231ECA" w:rsidRDefault="00231ECA" w:rsidP="00741448">
      <w:pPr>
        <w:pStyle w:val="NormalWeb"/>
        <w:spacing w:before="0" w:beforeAutospacing="0" w:after="0" w:afterAutospacing="0"/>
      </w:pPr>
    </w:p>
    <w:p w:rsidR="00231ECA" w:rsidRDefault="00231ECA" w:rsidP="00741448">
      <w:pPr>
        <w:pStyle w:val="NormalWeb"/>
        <w:spacing w:before="0" w:beforeAutospacing="0" w:after="0" w:afterAutospacing="0"/>
      </w:pPr>
    </w:p>
    <w:p w:rsidR="001A5A87" w:rsidRDefault="001A5A87" w:rsidP="00741448">
      <w:pPr>
        <w:pStyle w:val="NormalWeb"/>
        <w:spacing w:before="0" w:beforeAutospacing="0" w:after="0" w:afterAutospacing="0"/>
      </w:pPr>
    </w:p>
    <w:p w:rsidR="00231ECA" w:rsidRDefault="00231ECA" w:rsidP="00741448">
      <w:pPr>
        <w:pStyle w:val="NormalWeb"/>
        <w:spacing w:before="0" w:beforeAutospacing="0" w:after="0" w:afterAutospacing="0"/>
      </w:pPr>
    </w:p>
    <w:p w:rsidR="001A5A87" w:rsidRDefault="001A5A87" w:rsidP="00741448">
      <w:pPr>
        <w:pStyle w:val="NormalWeb"/>
        <w:spacing w:before="0" w:beforeAutospacing="0" w:after="0" w:afterAutospacing="0"/>
      </w:pPr>
    </w:p>
    <w:p w:rsidR="00231ECA" w:rsidRDefault="00231ECA" w:rsidP="00741448">
      <w:pPr>
        <w:shd w:val="clear" w:color="auto" w:fill="EAF5FF"/>
        <w:spacing w:before="0" w:after="0"/>
        <w:jc w:val="center"/>
        <w:rPr>
          <w:rFonts w:eastAsia="Times New Roman"/>
          <w:b/>
          <w:bCs/>
          <w:sz w:val="20"/>
          <w:szCs w:val="20"/>
        </w:rPr>
      </w:pPr>
    </w:p>
    <w:p w:rsidR="004F34B7" w:rsidRPr="004F34B7" w:rsidRDefault="004F34B7" w:rsidP="004F34B7">
      <w:pPr>
        <w:shd w:val="clear" w:color="auto" w:fill="EAF5FF"/>
        <w:spacing w:before="0" w:after="0"/>
        <w:jc w:val="center"/>
        <w:rPr>
          <w:rFonts w:eastAsia="Times New Roman"/>
          <w:sz w:val="20"/>
          <w:szCs w:val="20"/>
        </w:rPr>
      </w:pPr>
      <w:r w:rsidRPr="004F34B7">
        <w:rPr>
          <w:rFonts w:eastAsia="Times New Roman"/>
          <w:b/>
          <w:bCs/>
          <w:sz w:val="20"/>
          <w:szCs w:val="20"/>
        </w:rPr>
        <w:t>CONTRALORÍA GENERAL DE LA REPÚBLICA</w:t>
      </w:r>
    </w:p>
    <w:p w:rsidR="004F34B7" w:rsidRPr="004F34B7" w:rsidRDefault="004F34B7" w:rsidP="004F34B7">
      <w:pPr>
        <w:shd w:val="clear" w:color="auto" w:fill="EAF5FF"/>
        <w:spacing w:before="0" w:after="0"/>
        <w:jc w:val="center"/>
        <w:rPr>
          <w:rFonts w:eastAsia="Times New Roman"/>
          <w:sz w:val="20"/>
          <w:szCs w:val="20"/>
        </w:rPr>
      </w:pPr>
      <w:r w:rsidRPr="004F34B7">
        <w:rPr>
          <w:rFonts w:eastAsia="Times New Roman"/>
          <w:b/>
          <w:bCs/>
          <w:sz w:val="20"/>
          <w:szCs w:val="20"/>
        </w:rPr>
        <w:t>CONTRALORÍA DELEGADA PARA ECONOMÍA Y FINANZAS PÚBLICAS</w:t>
      </w:r>
    </w:p>
    <w:p w:rsidR="004F34B7" w:rsidRPr="004F34B7" w:rsidRDefault="004F34B7" w:rsidP="004F34B7">
      <w:pPr>
        <w:shd w:val="clear" w:color="auto" w:fill="EAF5FF"/>
        <w:spacing w:before="0" w:after="0"/>
        <w:jc w:val="center"/>
        <w:rPr>
          <w:rFonts w:eastAsia="Times New Roman"/>
          <w:sz w:val="20"/>
          <w:szCs w:val="20"/>
        </w:rPr>
      </w:pPr>
      <w:r w:rsidRPr="004F34B7">
        <w:rPr>
          <w:rFonts w:eastAsia="Times New Roman"/>
          <w:b/>
          <w:bCs/>
          <w:sz w:val="20"/>
          <w:szCs w:val="20"/>
        </w:rPr>
        <w:t>DIRECCIÓN DE CUENTAS Y ESTADÍSTICAS FISCALES</w:t>
      </w:r>
    </w:p>
    <w:p w:rsidR="004F34B7" w:rsidRPr="004F34B7" w:rsidRDefault="0000170F" w:rsidP="004F34B7">
      <w:pPr>
        <w:spacing w:before="0" w:after="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v:rect id="_x0000_i1025" style="width:0;height:1.2pt" o:hralign="center" o:hrstd="t" o:hrnoshade="t" o:hr="t" fillcolor="black" stroked="f"/>
        </w:pict>
      </w:r>
    </w:p>
    <w:p w:rsidR="004F34B7" w:rsidRPr="004F34B7" w:rsidRDefault="004F34B7" w:rsidP="004F34B7">
      <w:pPr>
        <w:shd w:val="clear" w:color="auto" w:fill="EAF5FF"/>
        <w:spacing w:before="0" w:after="0"/>
        <w:jc w:val="center"/>
        <w:rPr>
          <w:rFonts w:eastAsia="Times New Roman"/>
          <w:sz w:val="20"/>
          <w:szCs w:val="20"/>
        </w:rPr>
      </w:pPr>
      <w:r w:rsidRPr="004F34B7">
        <w:rPr>
          <w:rFonts w:eastAsia="Times New Roman"/>
          <w:b/>
          <w:bCs/>
          <w:sz w:val="20"/>
          <w:szCs w:val="20"/>
        </w:rPr>
        <w:t>CONSULTA DATOS CERTIFICACIÓN LEY 617/00</w:t>
      </w:r>
    </w:p>
    <w:tbl>
      <w:tblPr>
        <w:tblW w:w="8536" w:type="dxa"/>
        <w:jc w:val="center"/>
        <w:tblCellSpacing w:w="15" w:type="dxa"/>
        <w:shd w:val="clear" w:color="auto" w:fill="EAF5FF"/>
        <w:tblCellMar>
          <w:top w:w="15" w:type="dxa"/>
          <w:left w:w="15" w:type="dxa"/>
          <w:bottom w:w="15" w:type="dxa"/>
          <w:right w:w="15" w:type="dxa"/>
        </w:tblCellMar>
        <w:tblLook w:val="04A0" w:firstRow="1" w:lastRow="0" w:firstColumn="1" w:lastColumn="0" w:noHBand="0" w:noVBand="1"/>
      </w:tblPr>
      <w:tblGrid>
        <w:gridCol w:w="8536"/>
      </w:tblGrid>
      <w:tr w:rsidR="004F34B7" w:rsidRPr="004F34B7" w:rsidTr="004F34B7">
        <w:trPr>
          <w:tblCellSpacing w:w="15" w:type="dxa"/>
          <w:jc w:val="center"/>
        </w:trPr>
        <w:tc>
          <w:tcPr>
            <w:tcW w:w="0" w:type="auto"/>
            <w:shd w:val="clear" w:color="auto" w:fill="EAF5FF"/>
            <w:vAlign w:val="center"/>
            <w:hideMark/>
          </w:tcPr>
          <w:p w:rsidR="004F34B7" w:rsidRPr="004F34B7" w:rsidRDefault="004F34B7" w:rsidP="004F34B7">
            <w:pPr>
              <w:spacing w:before="0" w:after="0"/>
              <w:rPr>
                <w:rFonts w:eastAsia="Times New Roman"/>
                <w:color w:val="auto"/>
                <w:sz w:val="18"/>
                <w:szCs w:val="18"/>
              </w:rPr>
            </w:pPr>
          </w:p>
        </w:tc>
      </w:tr>
      <w:tr w:rsidR="004F34B7" w:rsidRPr="004F34B7" w:rsidTr="004F34B7">
        <w:trPr>
          <w:tblCellSpacing w:w="15" w:type="dxa"/>
          <w:jc w:val="center"/>
        </w:trPr>
        <w:tc>
          <w:tcPr>
            <w:tcW w:w="0" w:type="auto"/>
            <w:shd w:val="clear" w:color="auto" w:fill="EAF5FF"/>
            <w:vAlign w:val="center"/>
            <w:hideMark/>
          </w:tcPr>
          <w:p w:rsidR="004F34B7" w:rsidRPr="004F34B7" w:rsidRDefault="004F34B7" w:rsidP="004F34B7">
            <w:pPr>
              <w:spacing w:before="0" w:after="0"/>
              <w:rPr>
                <w:rFonts w:eastAsia="Times New Roman"/>
                <w:color w:val="auto"/>
                <w:sz w:val="18"/>
                <w:szCs w:val="18"/>
              </w:rPr>
            </w:pPr>
          </w:p>
        </w:tc>
      </w:tr>
      <w:tr w:rsidR="004F34B7" w:rsidRPr="004F34B7" w:rsidTr="004F34B7">
        <w:trPr>
          <w:tblCellSpacing w:w="15" w:type="dxa"/>
          <w:jc w:val="center"/>
        </w:trPr>
        <w:tc>
          <w:tcPr>
            <w:tcW w:w="0" w:type="auto"/>
            <w:shd w:val="clear" w:color="auto" w:fill="EAF5FF"/>
            <w:vAlign w:val="center"/>
            <w:hideMark/>
          </w:tcPr>
          <w:p w:rsidR="004F34B7" w:rsidRPr="004F34B7" w:rsidRDefault="004F34B7" w:rsidP="004F34B7">
            <w:pPr>
              <w:spacing w:before="0" w:after="0"/>
              <w:rPr>
                <w:rFonts w:eastAsia="Times New Roman"/>
                <w:color w:val="auto"/>
                <w:sz w:val="18"/>
                <w:szCs w:val="18"/>
              </w:rPr>
            </w:pPr>
          </w:p>
        </w:tc>
      </w:tr>
      <w:tr w:rsidR="004F34B7" w:rsidRPr="004F34B7" w:rsidTr="004F34B7">
        <w:trPr>
          <w:tblCellSpacing w:w="15" w:type="dxa"/>
          <w:jc w:val="center"/>
        </w:trPr>
        <w:tc>
          <w:tcPr>
            <w:tcW w:w="0" w:type="auto"/>
            <w:shd w:val="clear" w:color="auto" w:fill="EAF5FF"/>
            <w:vAlign w:val="center"/>
            <w:hideMark/>
          </w:tcPr>
          <w:p w:rsidR="004F34B7" w:rsidRPr="004F34B7" w:rsidRDefault="004F34B7" w:rsidP="004F34B7">
            <w:pPr>
              <w:spacing w:before="0" w:after="0"/>
              <w:rPr>
                <w:rFonts w:eastAsia="Times New Roman"/>
                <w:color w:val="auto"/>
                <w:sz w:val="18"/>
                <w:szCs w:val="18"/>
              </w:rPr>
            </w:pPr>
          </w:p>
        </w:tc>
      </w:tr>
      <w:tr w:rsidR="004F34B7" w:rsidRPr="004F34B7" w:rsidTr="004F34B7">
        <w:trPr>
          <w:tblCellSpacing w:w="15" w:type="dxa"/>
          <w:jc w:val="center"/>
        </w:trPr>
        <w:tc>
          <w:tcPr>
            <w:tcW w:w="0" w:type="auto"/>
            <w:shd w:val="clear" w:color="auto" w:fill="EAF5FF"/>
            <w:vAlign w:val="center"/>
            <w:hideMark/>
          </w:tcPr>
          <w:tbl>
            <w:tblPr>
              <w:tblW w:w="8400" w:type="dxa"/>
              <w:jc w:val="center"/>
              <w:tblCellSpacing w:w="0"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4020"/>
              <w:gridCol w:w="4380"/>
            </w:tblGrid>
            <w:tr w:rsidR="004F34B7" w:rsidRPr="004F34B7">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Departamento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TOLIMA</w:t>
                  </w:r>
                </w:p>
              </w:tc>
            </w:tr>
            <w:tr w:rsidR="004F34B7" w:rsidRPr="004F34B7">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Nombre Municipio o Departamento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214973349 - HONDA</w:t>
                  </w:r>
                </w:p>
              </w:tc>
            </w:tr>
            <w:tr w:rsidR="004F34B7" w:rsidRPr="004F34B7">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Vigencia</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2015</w:t>
                  </w:r>
                </w:p>
              </w:tc>
            </w:tr>
            <w:tr w:rsidR="004F34B7" w:rsidRPr="004F34B7">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Categoría</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Sexta</w:t>
                  </w:r>
                </w:p>
              </w:tc>
            </w:tr>
            <w:tr w:rsidR="004F34B7" w:rsidRPr="004F34B7">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Límite del Gasto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80%</w:t>
                  </w:r>
                </w:p>
              </w:tc>
            </w:tr>
            <w:tr w:rsidR="004F34B7" w:rsidRPr="004F34B7">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Descripción sobre la Certificación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Procede la Certificación de la Entidad.</w:t>
                  </w:r>
                </w:p>
              </w:tc>
            </w:tr>
          </w:tbl>
          <w:p w:rsidR="004F34B7" w:rsidRPr="004F34B7" w:rsidRDefault="004F34B7" w:rsidP="004F34B7">
            <w:pPr>
              <w:spacing w:before="0" w:after="0"/>
              <w:jc w:val="center"/>
              <w:rPr>
                <w:rFonts w:eastAsia="Times New Roman"/>
                <w:color w:val="auto"/>
                <w:sz w:val="18"/>
                <w:szCs w:val="18"/>
              </w:rPr>
            </w:pPr>
          </w:p>
        </w:tc>
      </w:tr>
    </w:tbl>
    <w:p w:rsidR="004F34B7" w:rsidRDefault="004F34B7" w:rsidP="004F34B7">
      <w:pPr>
        <w:spacing w:before="0" w:after="0"/>
        <w:rPr>
          <w:rFonts w:eastAsia="Times New Roman"/>
          <w:b/>
          <w:bCs/>
          <w:sz w:val="18"/>
          <w:szCs w:val="18"/>
          <w:shd w:val="clear" w:color="auto" w:fill="EAF5FF"/>
        </w:rPr>
      </w:pPr>
    </w:p>
    <w:p w:rsidR="004F34B7" w:rsidRPr="004F34B7" w:rsidRDefault="004F34B7" w:rsidP="004F34B7">
      <w:pPr>
        <w:spacing w:before="0" w:after="0"/>
        <w:ind w:firstLine="708"/>
        <w:rPr>
          <w:rFonts w:ascii="Times New Roman" w:eastAsia="Times New Roman" w:hAnsi="Times New Roman" w:cs="Times New Roman"/>
          <w:color w:val="auto"/>
          <w:sz w:val="24"/>
          <w:szCs w:val="24"/>
        </w:rPr>
      </w:pPr>
      <w:r w:rsidRPr="004F34B7">
        <w:rPr>
          <w:rFonts w:eastAsia="Times New Roman"/>
          <w:b/>
          <w:bCs/>
          <w:sz w:val="18"/>
          <w:szCs w:val="18"/>
          <w:shd w:val="clear" w:color="auto" w:fill="EAF5FF"/>
        </w:rPr>
        <w:t>Ingresos Corrientes de Libre Destinación (ICLD)</w:t>
      </w:r>
    </w:p>
    <w:tbl>
      <w:tblPr>
        <w:tblW w:w="8536" w:type="dxa"/>
        <w:jc w:val="center"/>
        <w:tblCellSpacing w:w="6" w:type="dxa"/>
        <w:tblBorders>
          <w:top w:val="outset" w:sz="6" w:space="0" w:color="auto"/>
          <w:left w:val="outset" w:sz="6" w:space="0" w:color="auto"/>
          <w:bottom w:val="outset" w:sz="6" w:space="0" w:color="auto"/>
          <w:right w:val="outset" w:sz="6" w:space="0" w:color="auto"/>
        </w:tblBorders>
        <w:shd w:val="clear" w:color="auto" w:fill="EAF5FF"/>
        <w:tblCellMar>
          <w:top w:w="15" w:type="dxa"/>
          <w:left w:w="15" w:type="dxa"/>
          <w:bottom w:w="15" w:type="dxa"/>
          <w:right w:w="15" w:type="dxa"/>
        </w:tblCellMar>
        <w:tblLook w:val="04A0" w:firstRow="1" w:lastRow="0" w:firstColumn="1" w:lastColumn="0" w:noHBand="0" w:noVBand="1"/>
      </w:tblPr>
      <w:tblGrid>
        <w:gridCol w:w="1890"/>
        <w:gridCol w:w="4838"/>
        <w:gridCol w:w="1675"/>
        <w:gridCol w:w="133"/>
      </w:tblGrid>
      <w:tr w:rsidR="004F34B7" w:rsidRPr="004F34B7" w:rsidTr="00AB4AFF">
        <w:trPr>
          <w:gridAfter w:val="3"/>
          <w:wAfter w:w="6625" w:type="dxa"/>
          <w:tblCellSpacing w:w="6" w:type="dxa"/>
          <w:jc w:val="center"/>
        </w:trPr>
        <w:tc>
          <w:tcPr>
            <w:tcW w:w="0" w:type="auto"/>
            <w:tcBorders>
              <w:top w:val="outset" w:sz="6" w:space="0" w:color="auto"/>
              <w:left w:val="outset" w:sz="6" w:space="0" w:color="auto"/>
              <w:bottom w:val="outset" w:sz="6" w:space="0" w:color="auto"/>
              <w:right w:val="outset" w:sz="6" w:space="0" w:color="auto"/>
            </w:tcBorders>
            <w:shd w:val="clear" w:color="auto" w:fill="EAF5FF"/>
            <w:vAlign w:val="center"/>
            <w:hideMark/>
          </w:tcPr>
          <w:p w:rsidR="004F34B7" w:rsidRPr="004F34B7" w:rsidRDefault="004F34B7" w:rsidP="004F34B7">
            <w:pPr>
              <w:spacing w:before="0" w:after="0"/>
              <w:rPr>
                <w:rFonts w:eastAsia="Times New Roman"/>
                <w:color w:val="auto"/>
                <w:sz w:val="18"/>
                <w:szCs w:val="18"/>
              </w:rPr>
            </w:pPr>
          </w:p>
        </w:tc>
      </w:tr>
      <w:tr w:rsidR="004F34B7" w:rsidRPr="004F34B7" w:rsidTr="00AB4AFF">
        <w:trPr>
          <w:gridAfter w:val="1"/>
          <w:tblCellSpacing w:w="6" w:type="dxa"/>
          <w:jc w:val="center"/>
        </w:trPr>
        <w:tc>
          <w:tcPr>
            <w:tcW w:w="1872" w:type="dxa"/>
            <w:tcBorders>
              <w:top w:val="outset" w:sz="6" w:space="0" w:color="auto"/>
              <w:left w:val="outset" w:sz="6" w:space="0" w:color="auto"/>
              <w:bottom w:val="outset" w:sz="6" w:space="0" w:color="auto"/>
              <w:right w:val="outset" w:sz="6" w:space="0" w:color="auto"/>
            </w:tcBorders>
            <w:shd w:val="clear" w:color="auto" w:fill="EAF5FF"/>
            <w:vAlign w:val="center"/>
            <w:hideMark/>
          </w:tcPr>
          <w:p w:rsidR="004F34B7" w:rsidRPr="004F34B7" w:rsidRDefault="004F34B7" w:rsidP="004F34B7">
            <w:pPr>
              <w:spacing w:before="0" w:after="0"/>
              <w:jc w:val="center"/>
              <w:rPr>
                <w:rFonts w:eastAsia="Times New Roman"/>
                <w:color w:val="auto"/>
                <w:sz w:val="18"/>
                <w:szCs w:val="18"/>
              </w:rPr>
            </w:pPr>
            <w:r w:rsidRPr="004F34B7">
              <w:rPr>
                <w:rFonts w:eastAsia="Times New Roman"/>
                <w:b/>
                <w:bCs/>
                <w:color w:val="auto"/>
                <w:sz w:val="18"/>
                <w:szCs w:val="18"/>
              </w:rPr>
              <w:t>Concepto</w:t>
            </w:r>
          </w:p>
        </w:tc>
        <w:tc>
          <w:tcPr>
            <w:tcW w:w="4534" w:type="dxa"/>
            <w:tcBorders>
              <w:top w:val="outset" w:sz="6" w:space="0" w:color="auto"/>
              <w:left w:val="outset" w:sz="6" w:space="0" w:color="auto"/>
              <w:bottom w:val="outset" w:sz="6" w:space="0" w:color="auto"/>
              <w:right w:val="outset" w:sz="6" w:space="0" w:color="auto"/>
            </w:tcBorders>
            <w:shd w:val="clear" w:color="auto" w:fill="EAF5FF"/>
            <w:vAlign w:val="center"/>
            <w:hideMark/>
          </w:tcPr>
          <w:p w:rsidR="004F34B7" w:rsidRPr="004F34B7" w:rsidRDefault="004F34B7" w:rsidP="004F34B7">
            <w:pPr>
              <w:spacing w:before="0" w:after="0"/>
              <w:jc w:val="center"/>
              <w:rPr>
                <w:rFonts w:eastAsia="Times New Roman"/>
                <w:color w:val="auto"/>
                <w:sz w:val="18"/>
                <w:szCs w:val="18"/>
              </w:rPr>
            </w:pPr>
            <w:r w:rsidRPr="004F34B7">
              <w:rPr>
                <w:rFonts w:eastAsia="Times New Roman"/>
                <w:b/>
                <w:bCs/>
                <w:color w:val="auto"/>
                <w:sz w:val="18"/>
                <w:szCs w:val="18"/>
              </w:rPr>
              <w:t>Descripción</w:t>
            </w:r>
          </w:p>
        </w:tc>
        <w:tc>
          <w:tcPr>
            <w:tcW w:w="1952" w:type="dxa"/>
            <w:tcBorders>
              <w:top w:val="outset" w:sz="6" w:space="0" w:color="auto"/>
              <w:left w:val="outset" w:sz="6" w:space="0" w:color="auto"/>
              <w:bottom w:val="outset" w:sz="6" w:space="0" w:color="auto"/>
              <w:right w:val="outset" w:sz="6" w:space="0" w:color="auto"/>
            </w:tcBorders>
            <w:shd w:val="clear" w:color="auto" w:fill="EAF5FF"/>
            <w:vAlign w:val="center"/>
            <w:hideMark/>
          </w:tcPr>
          <w:p w:rsidR="004F34B7" w:rsidRPr="004F34B7" w:rsidRDefault="004F34B7" w:rsidP="004F34B7">
            <w:pPr>
              <w:spacing w:before="0" w:after="0"/>
              <w:jc w:val="center"/>
              <w:rPr>
                <w:rFonts w:eastAsia="Times New Roman"/>
                <w:color w:val="auto"/>
                <w:sz w:val="18"/>
                <w:szCs w:val="18"/>
              </w:rPr>
            </w:pPr>
            <w:r w:rsidRPr="004F34B7">
              <w:rPr>
                <w:rFonts w:eastAsia="Times New Roman"/>
                <w:b/>
                <w:bCs/>
                <w:color w:val="auto"/>
                <w:sz w:val="18"/>
                <w:szCs w:val="18"/>
              </w:rPr>
              <w:t>Ejecución (Miles de Pesos)</w:t>
            </w:r>
          </w:p>
        </w:tc>
      </w:tr>
      <w:tr w:rsidR="004F34B7" w:rsidRPr="004F34B7" w:rsidTr="00AB4AFF">
        <w:trPr>
          <w:gridAfter w:val="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1.1.01.01.34</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Circulación y Tránsito por Transporte Público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jc w:val="right"/>
              <w:rPr>
                <w:rFonts w:eastAsia="Times New Roman"/>
                <w:color w:val="auto"/>
                <w:sz w:val="18"/>
                <w:szCs w:val="18"/>
              </w:rPr>
            </w:pPr>
            <w:r w:rsidRPr="004F34B7">
              <w:rPr>
                <w:rFonts w:eastAsia="Times New Roman"/>
                <w:color w:val="auto"/>
                <w:sz w:val="18"/>
                <w:szCs w:val="18"/>
              </w:rPr>
              <w:t>52.739</w:t>
            </w:r>
          </w:p>
        </w:tc>
      </w:tr>
      <w:tr w:rsidR="004F34B7" w:rsidRPr="004F34B7" w:rsidTr="00AB4AFF">
        <w:trPr>
          <w:gridAfter w:val="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1.1.01.01.40</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Predial Unificado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jc w:val="right"/>
              <w:rPr>
                <w:rFonts w:eastAsia="Times New Roman"/>
                <w:color w:val="auto"/>
                <w:sz w:val="18"/>
                <w:szCs w:val="18"/>
              </w:rPr>
            </w:pPr>
            <w:r w:rsidRPr="004F34B7">
              <w:rPr>
                <w:rFonts w:eastAsia="Times New Roman"/>
                <w:color w:val="auto"/>
                <w:sz w:val="18"/>
                <w:szCs w:val="18"/>
              </w:rPr>
              <w:t>1.306.287</w:t>
            </w:r>
          </w:p>
        </w:tc>
      </w:tr>
      <w:tr w:rsidR="004F34B7" w:rsidRPr="004F34B7" w:rsidTr="00AB4AFF">
        <w:trPr>
          <w:gridAfter w:val="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1.1.01.02.39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Industria y Comercio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jc w:val="right"/>
              <w:rPr>
                <w:rFonts w:eastAsia="Times New Roman"/>
                <w:color w:val="auto"/>
                <w:sz w:val="18"/>
                <w:szCs w:val="18"/>
              </w:rPr>
            </w:pPr>
            <w:r w:rsidRPr="004F34B7">
              <w:rPr>
                <w:rFonts w:eastAsia="Times New Roman"/>
                <w:color w:val="auto"/>
                <w:sz w:val="18"/>
                <w:szCs w:val="18"/>
              </w:rPr>
              <w:t>590.110</w:t>
            </w:r>
          </w:p>
        </w:tc>
      </w:tr>
      <w:tr w:rsidR="004F34B7" w:rsidRPr="004F34B7" w:rsidTr="00AB4AFF">
        <w:trPr>
          <w:gridAfter w:val="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1.1.01.02.45</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Avisos y Tableros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jc w:val="right"/>
              <w:rPr>
                <w:rFonts w:eastAsia="Times New Roman"/>
                <w:color w:val="auto"/>
                <w:sz w:val="18"/>
                <w:szCs w:val="18"/>
              </w:rPr>
            </w:pPr>
            <w:r w:rsidRPr="004F34B7">
              <w:rPr>
                <w:rFonts w:eastAsia="Times New Roman"/>
                <w:color w:val="auto"/>
                <w:sz w:val="18"/>
                <w:szCs w:val="18"/>
              </w:rPr>
              <w:t>62.679</w:t>
            </w:r>
          </w:p>
        </w:tc>
      </w:tr>
      <w:tr w:rsidR="004F34B7" w:rsidRPr="004F34B7" w:rsidTr="00AB4AFF">
        <w:trPr>
          <w:gridAfter w:val="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1.1.01.02.49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Delineación y Urbanismo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jc w:val="right"/>
              <w:rPr>
                <w:rFonts w:eastAsia="Times New Roman"/>
                <w:color w:val="auto"/>
                <w:sz w:val="18"/>
                <w:szCs w:val="18"/>
              </w:rPr>
            </w:pPr>
            <w:r w:rsidRPr="004F34B7">
              <w:rPr>
                <w:rFonts w:eastAsia="Times New Roman"/>
                <w:color w:val="auto"/>
                <w:sz w:val="18"/>
                <w:szCs w:val="18"/>
              </w:rPr>
              <w:t>95.392</w:t>
            </w:r>
          </w:p>
        </w:tc>
      </w:tr>
      <w:tr w:rsidR="004F34B7" w:rsidRPr="004F34B7" w:rsidTr="00AB4AFF">
        <w:trPr>
          <w:gridAfter w:val="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1.1.01.02.61.01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Sobretasa Consumo Gasolina Motor Libre Destinación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jc w:val="right"/>
              <w:rPr>
                <w:rFonts w:eastAsia="Times New Roman"/>
                <w:color w:val="auto"/>
                <w:sz w:val="18"/>
                <w:szCs w:val="18"/>
              </w:rPr>
            </w:pPr>
            <w:r w:rsidRPr="004F34B7">
              <w:rPr>
                <w:rFonts w:eastAsia="Times New Roman"/>
                <w:color w:val="auto"/>
                <w:sz w:val="18"/>
                <w:szCs w:val="18"/>
              </w:rPr>
              <w:t>1.095.756</w:t>
            </w:r>
          </w:p>
        </w:tc>
      </w:tr>
      <w:tr w:rsidR="004F34B7" w:rsidRPr="004F34B7" w:rsidTr="00AB4AFF">
        <w:trPr>
          <w:gridAfter w:val="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1.1.01.02.69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Registro de Marcas y Herretes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jc w:val="right"/>
              <w:rPr>
                <w:rFonts w:eastAsia="Times New Roman"/>
                <w:color w:val="auto"/>
                <w:sz w:val="18"/>
                <w:szCs w:val="18"/>
              </w:rPr>
            </w:pPr>
            <w:r w:rsidRPr="004F34B7">
              <w:rPr>
                <w:rFonts w:eastAsia="Times New Roman"/>
                <w:color w:val="auto"/>
                <w:sz w:val="18"/>
                <w:szCs w:val="18"/>
              </w:rPr>
              <w:t>451</w:t>
            </w:r>
          </w:p>
        </w:tc>
      </w:tr>
      <w:tr w:rsidR="004F34B7" w:rsidRPr="004F34B7" w:rsidTr="00AB4AFF">
        <w:trPr>
          <w:gridAfter w:val="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1.1.02.01.01.09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Plaza de Mercado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jc w:val="right"/>
              <w:rPr>
                <w:rFonts w:eastAsia="Times New Roman"/>
                <w:color w:val="auto"/>
                <w:sz w:val="18"/>
                <w:szCs w:val="18"/>
              </w:rPr>
            </w:pPr>
            <w:r w:rsidRPr="004F34B7">
              <w:rPr>
                <w:rFonts w:eastAsia="Times New Roman"/>
                <w:color w:val="auto"/>
                <w:sz w:val="18"/>
                <w:szCs w:val="18"/>
              </w:rPr>
              <w:t>25.652</w:t>
            </w:r>
          </w:p>
        </w:tc>
      </w:tr>
      <w:tr w:rsidR="004F34B7" w:rsidRPr="004F34B7" w:rsidTr="00AB4AFF">
        <w:trPr>
          <w:gridAfter w:val="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1.1.02.01.01.19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Expedición de Certificados y Paz y Salvos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jc w:val="right"/>
              <w:rPr>
                <w:rFonts w:eastAsia="Times New Roman"/>
                <w:color w:val="auto"/>
                <w:sz w:val="18"/>
                <w:szCs w:val="18"/>
              </w:rPr>
            </w:pPr>
            <w:r w:rsidRPr="004F34B7">
              <w:rPr>
                <w:rFonts w:eastAsia="Times New Roman"/>
                <w:color w:val="auto"/>
                <w:sz w:val="18"/>
                <w:szCs w:val="18"/>
              </w:rPr>
              <w:t>10</w:t>
            </w:r>
          </w:p>
        </w:tc>
      </w:tr>
      <w:tr w:rsidR="004F34B7" w:rsidRPr="004F34B7" w:rsidTr="00AB4AFF">
        <w:trPr>
          <w:gridAfter w:val="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1.1.02.01.01.39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Arrendamientos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jc w:val="right"/>
              <w:rPr>
                <w:rFonts w:eastAsia="Times New Roman"/>
                <w:color w:val="auto"/>
                <w:sz w:val="18"/>
                <w:szCs w:val="18"/>
              </w:rPr>
            </w:pPr>
            <w:r w:rsidRPr="004F34B7">
              <w:rPr>
                <w:rFonts w:eastAsia="Times New Roman"/>
                <w:color w:val="auto"/>
                <w:sz w:val="18"/>
                <w:szCs w:val="18"/>
              </w:rPr>
              <w:t>14.400</w:t>
            </w:r>
          </w:p>
        </w:tc>
      </w:tr>
      <w:tr w:rsidR="004F34B7" w:rsidRPr="004F34B7" w:rsidTr="00AB4AFF">
        <w:trPr>
          <w:gridAfter w:val="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1.1.02.01.03.15</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Intereses moratorios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jc w:val="right"/>
              <w:rPr>
                <w:rFonts w:eastAsia="Times New Roman"/>
                <w:color w:val="auto"/>
                <w:sz w:val="18"/>
                <w:szCs w:val="18"/>
              </w:rPr>
            </w:pPr>
            <w:r w:rsidRPr="004F34B7">
              <w:rPr>
                <w:rFonts w:eastAsia="Times New Roman"/>
                <w:color w:val="auto"/>
                <w:sz w:val="18"/>
                <w:szCs w:val="18"/>
              </w:rPr>
              <w:t>328.631</w:t>
            </w:r>
          </w:p>
        </w:tc>
      </w:tr>
      <w:tr w:rsidR="004F34B7" w:rsidRPr="004F34B7" w:rsidTr="00AB4AFF">
        <w:trPr>
          <w:gridAfter w:val="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1.1.02.01.03.98</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Otras Multas y Sanciones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jc w:val="right"/>
              <w:rPr>
                <w:rFonts w:eastAsia="Times New Roman"/>
                <w:color w:val="auto"/>
                <w:sz w:val="18"/>
                <w:szCs w:val="18"/>
              </w:rPr>
            </w:pPr>
            <w:r w:rsidRPr="004F34B7">
              <w:rPr>
                <w:rFonts w:eastAsia="Times New Roman"/>
                <w:color w:val="auto"/>
                <w:sz w:val="18"/>
                <w:szCs w:val="18"/>
              </w:rPr>
              <w:t>4.524</w:t>
            </w:r>
          </w:p>
        </w:tc>
      </w:tr>
      <w:tr w:rsidR="004F34B7" w:rsidRPr="004F34B7" w:rsidTr="00AB4AFF">
        <w:trPr>
          <w:gridAfter w:val="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1.1.02.02.01.01.01.01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Sistema General de Participaciones Propósito General Libre Destinación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jc w:val="right"/>
              <w:rPr>
                <w:rFonts w:eastAsia="Times New Roman"/>
                <w:color w:val="auto"/>
                <w:sz w:val="18"/>
                <w:szCs w:val="18"/>
              </w:rPr>
            </w:pPr>
            <w:r w:rsidRPr="004F34B7">
              <w:rPr>
                <w:rFonts w:eastAsia="Times New Roman"/>
                <w:color w:val="auto"/>
                <w:sz w:val="18"/>
                <w:szCs w:val="18"/>
              </w:rPr>
              <w:t>756.451</w:t>
            </w:r>
          </w:p>
        </w:tc>
      </w:tr>
      <w:tr w:rsidR="004F34B7" w:rsidRPr="004F34B7" w:rsidTr="00AB4AFF">
        <w:trPr>
          <w:gridAfter w:val="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1.1.02.02.01.03.01.01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De Vehículos Automotores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jc w:val="right"/>
              <w:rPr>
                <w:rFonts w:eastAsia="Times New Roman"/>
                <w:color w:val="auto"/>
                <w:sz w:val="18"/>
                <w:szCs w:val="18"/>
              </w:rPr>
            </w:pPr>
            <w:r w:rsidRPr="004F34B7">
              <w:rPr>
                <w:rFonts w:eastAsia="Times New Roman"/>
                <w:color w:val="auto"/>
                <w:sz w:val="18"/>
                <w:szCs w:val="18"/>
              </w:rPr>
              <w:t>39.204</w:t>
            </w:r>
          </w:p>
        </w:tc>
      </w:tr>
      <w:tr w:rsidR="004F34B7" w:rsidRPr="004F34B7" w:rsidTr="00AB4AFF">
        <w:trPr>
          <w:gridAfter w:val="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jc w:val="center"/>
              <w:rPr>
                <w:rFonts w:eastAsia="Times New Roman"/>
                <w:color w:val="auto"/>
                <w:sz w:val="18"/>
                <w:szCs w:val="18"/>
              </w:rPr>
            </w:pPr>
            <w:r w:rsidRPr="004F34B7">
              <w:rPr>
                <w:rFonts w:eastAsia="Times New Roman"/>
                <w:b/>
                <w:bCs/>
                <w:color w:val="auto"/>
                <w:sz w:val="18"/>
                <w:szCs w:val="18"/>
              </w:rPr>
              <w:t>TOTAL 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jc w:val="right"/>
              <w:rPr>
                <w:rFonts w:eastAsia="Times New Roman"/>
                <w:color w:val="auto"/>
                <w:sz w:val="18"/>
                <w:szCs w:val="18"/>
              </w:rPr>
            </w:pPr>
            <w:r w:rsidRPr="004F34B7">
              <w:rPr>
                <w:rFonts w:eastAsia="Times New Roman"/>
                <w:b/>
                <w:bCs/>
                <w:color w:val="auto"/>
                <w:sz w:val="18"/>
                <w:szCs w:val="18"/>
              </w:rPr>
              <w:t>4.372.286</w:t>
            </w:r>
          </w:p>
        </w:tc>
      </w:tr>
      <w:tr w:rsidR="004F34B7" w:rsidRPr="004F34B7" w:rsidTr="00AB4AFF">
        <w:trPr>
          <w:gridAfter w:val="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jc w:val="center"/>
              <w:rPr>
                <w:rFonts w:eastAsia="Times New Roman"/>
                <w:color w:val="auto"/>
                <w:sz w:val="18"/>
                <w:szCs w:val="18"/>
              </w:rPr>
            </w:pPr>
            <w:r w:rsidRPr="004F34B7">
              <w:rPr>
                <w:rFonts w:eastAsia="Times New Roman"/>
                <w:b/>
                <w:bCs/>
                <w:color w:val="auto"/>
                <w:sz w:val="18"/>
                <w:szCs w:val="18"/>
              </w:rPr>
              <w:t>TOTAL ICLD NETO*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jc w:val="right"/>
              <w:rPr>
                <w:rFonts w:eastAsia="Times New Roman"/>
                <w:color w:val="auto"/>
                <w:sz w:val="18"/>
                <w:szCs w:val="18"/>
              </w:rPr>
            </w:pPr>
            <w:r w:rsidRPr="004F34B7">
              <w:rPr>
                <w:rFonts w:eastAsia="Times New Roman"/>
                <w:b/>
                <w:bCs/>
                <w:color w:val="auto"/>
                <w:sz w:val="18"/>
                <w:szCs w:val="18"/>
              </w:rPr>
              <w:t>4.372.286</w:t>
            </w:r>
          </w:p>
        </w:tc>
      </w:tr>
      <w:tr w:rsidR="004F34B7" w:rsidRPr="004F34B7" w:rsidTr="00AB4AFF">
        <w:tblPrEx>
          <w:tblCellSpacing w:w="15" w:type="dxa"/>
          <w:tblBorders>
            <w:top w:val="none" w:sz="0" w:space="0" w:color="auto"/>
            <w:left w:val="none" w:sz="0" w:space="0" w:color="auto"/>
            <w:bottom w:val="none" w:sz="0" w:space="0" w:color="auto"/>
            <w:right w:val="none" w:sz="0" w:space="0" w:color="auto"/>
          </w:tblBorders>
        </w:tblPrEx>
        <w:trPr>
          <w:tblCellSpacing w:w="15" w:type="dxa"/>
          <w:jc w:val="center"/>
        </w:trPr>
        <w:tc>
          <w:tcPr>
            <w:tcW w:w="0" w:type="auto"/>
            <w:gridSpan w:val="4"/>
            <w:shd w:val="clear" w:color="auto" w:fill="EAF5FF"/>
            <w:vAlign w:val="center"/>
            <w:hideMark/>
          </w:tcPr>
          <w:p w:rsidR="004F34B7" w:rsidRPr="004F34B7" w:rsidRDefault="004F34B7" w:rsidP="004F34B7">
            <w:pPr>
              <w:spacing w:before="0" w:after="0"/>
              <w:jc w:val="center"/>
              <w:rPr>
                <w:rFonts w:eastAsia="Times New Roman"/>
                <w:color w:val="auto"/>
                <w:sz w:val="18"/>
                <w:szCs w:val="18"/>
              </w:rPr>
            </w:pPr>
            <w:r w:rsidRPr="004F34B7">
              <w:rPr>
                <w:rFonts w:eastAsia="Times New Roman"/>
                <w:b/>
                <w:bCs/>
                <w:color w:val="auto"/>
                <w:sz w:val="18"/>
                <w:szCs w:val="18"/>
              </w:rPr>
              <w:lastRenderedPageBreak/>
              <w:t>Gastos de Funcionamiento Neto (GF)</w:t>
            </w:r>
          </w:p>
          <w:tbl>
            <w:tblPr>
              <w:tblW w:w="8400" w:type="dxa"/>
              <w:jc w:val="center"/>
              <w:tblCellSpacing w:w="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35"/>
              <w:gridCol w:w="4053"/>
              <w:gridCol w:w="2712"/>
            </w:tblGrid>
            <w:tr w:rsidR="004F34B7" w:rsidRPr="004F34B7">
              <w:trPr>
                <w:gridAfter w:val="2"/>
                <w:wAfter w:w="5982" w:type="dxa"/>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F34B7" w:rsidRPr="004F34B7" w:rsidRDefault="004F34B7" w:rsidP="004F34B7">
                  <w:pPr>
                    <w:spacing w:before="0" w:after="0"/>
                    <w:rPr>
                      <w:rFonts w:eastAsia="Times New Roman"/>
                      <w:color w:val="auto"/>
                      <w:sz w:val="18"/>
                      <w:szCs w:val="18"/>
                    </w:rPr>
                  </w:pPr>
                </w:p>
              </w:tc>
            </w:tr>
            <w:tr w:rsidR="004F34B7" w:rsidRPr="004F34B7">
              <w:trPr>
                <w:tblCellSpacing w:w="6" w:type="dxa"/>
                <w:jc w:val="center"/>
              </w:trPr>
              <w:tc>
                <w:tcPr>
                  <w:tcW w:w="1440" w:type="dxa"/>
                  <w:tcBorders>
                    <w:top w:val="outset" w:sz="6" w:space="0" w:color="auto"/>
                    <w:left w:val="outset" w:sz="6" w:space="0" w:color="auto"/>
                    <w:bottom w:val="outset" w:sz="6" w:space="0" w:color="auto"/>
                    <w:right w:val="outset" w:sz="6" w:space="0" w:color="auto"/>
                  </w:tcBorders>
                  <w:vAlign w:val="center"/>
                  <w:hideMark/>
                </w:tcPr>
                <w:p w:rsidR="004F34B7" w:rsidRPr="004F34B7" w:rsidRDefault="004F34B7" w:rsidP="004F34B7">
                  <w:pPr>
                    <w:spacing w:before="0" w:after="0"/>
                    <w:jc w:val="center"/>
                    <w:rPr>
                      <w:rFonts w:eastAsia="Times New Roman"/>
                      <w:color w:val="auto"/>
                      <w:sz w:val="18"/>
                      <w:szCs w:val="18"/>
                    </w:rPr>
                  </w:pPr>
                  <w:r w:rsidRPr="004F34B7">
                    <w:rPr>
                      <w:rFonts w:eastAsia="Times New Roman"/>
                      <w:b/>
                      <w:bCs/>
                      <w:color w:val="auto"/>
                      <w:sz w:val="18"/>
                      <w:szCs w:val="18"/>
                    </w:rPr>
                    <w:t>Concepto</w:t>
                  </w:r>
                </w:p>
              </w:tc>
              <w:tc>
                <w:tcPr>
                  <w:tcW w:w="3600" w:type="dxa"/>
                  <w:tcBorders>
                    <w:top w:val="outset" w:sz="6" w:space="0" w:color="auto"/>
                    <w:left w:val="outset" w:sz="6" w:space="0" w:color="auto"/>
                    <w:bottom w:val="outset" w:sz="6" w:space="0" w:color="auto"/>
                    <w:right w:val="outset" w:sz="6" w:space="0" w:color="auto"/>
                  </w:tcBorders>
                  <w:vAlign w:val="center"/>
                  <w:hideMark/>
                </w:tcPr>
                <w:p w:rsidR="004F34B7" w:rsidRPr="004F34B7" w:rsidRDefault="004F34B7" w:rsidP="004F34B7">
                  <w:pPr>
                    <w:spacing w:before="0" w:after="0"/>
                    <w:jc w:val="center"/>
                    <w:rPr>
                      <w:rFonts w:eastAsia="Times New Roman"/>
                      <w:color w:val="auto"/>
                      <w:sz w:val="18"/>
                      <w:szCs w:val="18"/>
                    </w:rPr>
                  </w:pPr>
                  <w:r w:rsidRPr="004F34B7">
                    <w:rPr>
                      <w:rFonts w:eastAsia="Times New Roman"/>
                      <w:b/>
                      <w:bCs/>
                      <w:color w:val="auto"/>
                      <w:sz w:val="18"/>
                      <w:szCs w:val="18"/>
                    </w:rPr>
                    <w:t>Descripción</w:t>
                  </w:r>
                </w:p>
              </w:tc>
              <w:tc>
                <w:tcPr>
                  <w:tcW w:w="2400" w:type="dxa"/>
                  <w:tcBorders>
                    <w:top w:val="outset" w:sz="6" w:space="0" w:color="auto"/>
                    <w:left w:val="outset" w:sz="6" w:space="0" w:color="auto"/>
                    <w:bottom w:val="outset" w:sz="6" w:space="0" w:color="auto"/>
                    <w:right w:val="outset" w:sz="6" w:space="0" w:color="auto"/>
                  </w:tcBorders>
                  <w:vAlign w:val="center"/>
                  <w:hideMark/>
                </w:tcPr>
                <w:p w:rsidR="004F34B7" w:rsidRPr="004F34B7" w:rsidRDefault="004F34B7" w:rsidP="004F34B7">
                  <w:pPr>
                    <w:spacing w:before="0" w:after="0"/>
                    <w:jc w:val="center"/>
                    <w:rPr>
                      <w:rFonts w:eastAsia="Times New Roman"/>
                      <w:color w:val="auto"/>
                      <w:sz w:val="18"/>
                      <w:szCs w:val="18"/>
                    </w:rPr>
                  </w:pPr>
                  <w:r w:rsidRPr="004F34B7">
                    <w:rPr>
                      <w:rFonts w:eastAsia="Times New Roman"/>
                      <w:b/>
                      <w:bCs/>
                      <w:color w:val="auto"/>
                      <w:sz w:val="18"/>
                      <w:szCs w:val="18"/>
                    </w:rPr>
                    <w:t>Ejecución (Miles de Pesos)</w:t>
                  </w:r>
                </w:p>
              </w:tc>
            </w:tr>
            <w:tr w:rsidR="004F34B7" w:rsidRPr="004F34B7">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2.1.01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Gastos de Personal</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jc w:val="right"/>
                    <w:rPr>
                      <w:rFonts w:eastAsia="Times New Roman"/>
                      <w:color w:val="auto"/>
                      <w:sz w:val="18"/>
                      <w:szCs w:val="18"/>
                    </w:rPr>
                  </w:pPr>
                  <w:r w:rsidRPr="004F34B7">
                    <w:rPr>
                      <w:rFonts w:eastAsia="Times New Roman"/>
                      <w:color w:val="auto"/>
                      <w:sz w:val="18"/>
                      <w:szCs w:val="18"/>
                    </w:rPr>
                    <w:t>1.809.854</w:t>
                  </w:r>
                </w:p>
              </w:tc>
            </w:tr>
            <w:tr w:rsidR="004F34B7" w:rsidRPr="004F34B7">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2.1.02</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Gastos Generales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jc w:val="right"/>
                    <w:rPr>
                      <w:rFonts w:eastAsia="Times New Roman"/>
                      <w:color w:val="auto"/>
                      <w:sz w:val="18"/>
                      <w:szCs w:val="18"/>
                    </w:rPr>
                  </w:pPr>
                  <w:r w:rsidRPr="004F34B7">
                    <w:rPr>
                      <w:rFonts w:eastAsia="Times New Roman"/>
                      <w:color w:val="auto"/>
                      <w:sz w:val="18"/>
                      <w:szCs w:val="18"/>
                    </w:rPr>
                    <w:t>367.072</w:t>
                  </w:r>
                </w:p>
              </w:tc>
            </w:tr>
            <w:tr w:rsidR="004F34B7" w:rsidRPr="004F34B7">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2.1.03</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Transferencias Corrientes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jc w:val="right"/>
                    <w:rPr>
                      <w:rFonts w:eastAsia="Times New Roman"/>
                      <w:color w:val="auto"/>
                      <w:sz w:val="18"/>
                      <w:szCs w:val="18"/>
                    </w:rPr>
                  </w:pPr>
                  <w:r w:rsidRPr="004F34B7">
                    <w:rPr>
                      <w:rFonts w:eastAsia="Times New Roman"/>
                      <w:color w:val="auto"/>
                      <w:sz w:val="18"/>
                      <w:szCs w:val="18"/>
                    </w:rPr>
                    <w:t>431.801</w:t>
                  </w:r>
                </w:p>
              </w:tc>
            </w:tr>
            <w:tr w:rsidR="004F34B7" w:rsidRPr="004F34B7">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rPr>
                      <w:rFonts w:eastAsia="Times New Roman"/>
                      <w:color w:val="auto"/>
                      <w:sz w:val="18"/>
                      <w:szCs w:val="18"/>
                    </w:rPr>
                  </w:pPr>
                  <w:r w:rsidRPr="004F34B7">
                    <w:rPr>
                      <w:rFonts w:eastAsia="Times New Roman"/>
                      <w:color w:val="auto"/>
                      <w:sz w:val="18"/>
                      <w:szCs w:val="18"/>
                    </w:rPr>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jc w:val="center"/>
                    <w:rPr>
                      <w:rFonts w:eastAsia="Times New Roman"/>
                      <w:color w:val="auto"/>
                      <w:sz w:val="18"/>
                      <w:szCs w:val="18"/>
                    </w:rPr>
                  </w:pPr>
                  <w:r w:rsidRPr="004F34B7">
                    <w:rPr>
                      <w:rFonts w:eastAsia="Times New Roman"/>
                      <w:b/>
                      <w:bCs/>
                      <w:color w:val="auto"/>
                      <w:sz w:val="18"/>
                      <w:szCs w:val="18"/>
                    </w:rPr>
                    <w:t>Total Gastos Funcionamiento Neto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jc w:val="right"/>
                    <w:rPr>
                      <w:rFonts w:eastAsia="Times New Roman"/>
                      <w:color w:val="auto"/>
                      <w:sz w:val="18"/>
                      <w:szCs w:val="18"/>
                    </w:rPr>
                  </w:pPr>
                  <w:r w:rsidRPr="004F34B7">
                    <w:rPr>
                      <w:rFonts w:eastAsia="Times New Roman"/>
                      <w:b/>
                      <w:bCs/>
                      <w:color w:val="auto"/>
                      <w:sz w:val="18"/>
                      <w:szCs w:val="18"/>
                    </w:rPr>
                    <w:t>2.608.727</w:t>
                  </w:r>
                </w:p>
              </w:tc>
            </w:tr>
          </w:tbl>
          <w:p w:rsidR="004F34B7" w:rsidRPr="004F34B7" w:rsidRDefault="004F34B7" w:rsidP="004F34B7">
            <w:pPr>
              <w:spacing w:before="0" w:after="0"/>
              <w:jc w:val="center"/>
              <w:rPr>
                <w:rFonts w:eastAsia="Times New Roman"/>
                <w:color w:val="auto"/>
                <w:sz w:val="18"/>
                <w:szCs w:val="18"/>
              </w:rPr>
            </w:pPr>
          </w:p>
        </w:tc>
      </w:tr>
      <w:tr w:rsidR="004F34B7" w:rsidRPr="004F34B7" w:rsidTr="00AB4AFF">
        <w:tblPrEx>
          <w:tblCellSpacing w:w="15" w:type="dxa"/>
          <w:tblBorders>
            <w:top w:val="none" w:sz="0" w:space="0" w:color="auto"/>
            <w:left w:val="none" w:sz="0" w:space="0" w:color="auto"/>
            <w:bottom w:val="none" w:sz="0" w:space="0" w:color="auto"/>
            <w:right w:val="none" w:sz="0" w:space="0" w:color="auto"/>
          </w:tblBorders>
        </w:tblPrEx>
        <w:trPr>
          <w:tblCellSpacing w:w="15" w:type="dxa"/>
          <w:jc w:val="center"/>
        </w:trPr>
        <w:tc>
          <w:tcPr>
            <w:tcW w:w="0" w:type="auto"/>
            <w:gridSpan w:val="4"/>
            <w:shd w:val="clear" w:color="auto" w:fill="EAF5FF"/>
            <w:vAlign w:val="center"/>
            <w:hideMark/>
          </w:tcPr>
          <w:tbl>
            <w:tblPr>
              <w:tblW w:w="8400" w:type="dxa"/>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240"/>
              <w:gridCol w:w="1160"/>
            </w:tblGrid>
            <w:tr w:rsidR="004F34B7" w:rsidRPr="004F34B7">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jc w:val="center"/>
                    <w:rPr>
                      <w:rFonts w:eastAsia="Times New Roman"/>
                      <w:color w:val="auto"/>
                      <w:sz w:val="18"/>
                      <w:szCs w:val="18"/>
                    </w:rPr>
                  </w:pPr>
                  <w:r w:rsidRPr="004F34B7">
                    <w:rPr>
                      <w:rFonts w:eastAsia="Times New Roman"/>
                      <w:b/>
                      <w:bCs/>
                      <w:color w:val="auto"/>
                      <w:sz w:val="18"/>
                      <w:szCs w:val="18"/>
                    </w:rPr>
                    <w:t>Indicador Ley 617/00 (GF/ICLD)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F34B7" w:rsidRPr="004F34B7" w:rsidRDefault="004F34B7" w:rsidP="004F34B7">
                  <w:pPr>
                    <w:spacing w:before="0" w:after="0"/>
                    <w:jc w:val="right"/>
                    <w:rPr>
                      <w:rFonts w:eastAsia="Times New Roman"/>
                      <w:color w:val="auto"/>
                      <w:sz w:val="18"/>
                      <w:szCs w:val="18"/>
                    </w:rPr>
                  </w:pPr>
                  <w:r w:rsidRPr="004F34B7">
                    <w:rPr>
                      <w:rFonts w:eastAsia="Times New Roman"/>
                      <w:b/>
                      <w:bCs/>
                      <w:color w:val="auto"/>
                      <w:sz w:val="18"/>
                      <w:szCs w:val="18"/>
                    </w:rPr>
                    <w:t>59,67%</w:t>
                  </w:r>
                </w:p>
              </w:tc>
            </w:tr>
            <w:tr w:rsidR="004F34B7" w:rsidRPr="004F34B7">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C563B0" w:rsidP="004F34B7">
                  <w:pPr>
                    <w:spacing w:before="0" w:after="0"/>
                    <w:jc w:val="center"/>
                    <w:rPr>
                      <w:rFonts w:eastAsia="Times New Roman"/>
                      <w:color w:val="auto"/>
                      <w:sz w:val="18"/>
                      <w:szCs w:val="18"/>
                    </w:rPr>
                  </w:pPr>
                  <w:r w:rsidRPr="004F34B7">
                    <w:rPr>
                      <w:rFonts w:eastAsia="Times New Roman"/>
                      <w:b/>
                      <w:bCs/>
                      <w:color w:val="auto"/>
                      <w:sz w:val="18"/>
                      <w:szCs w:val="18"/>
                    </w:rPr>
                    <w:t>Límite</w:t>
                  </w:r>
                  <w:r w:rsidR="004F34B7" w:rsidRPr="004F34B7">
                    <w:rPr>
                      <w:rFonts w:eastAsia="Times New Roman"/>
                      <w:b/>
                      <w:bCs/>
                      <w:color w:val="auto"/>
                      <w:sz w:val="18"/>
                      <w:szCs w:val="18"/>
                    </w:rPr>
                    <w:t xml:space="preserve"> del Gasto ( - ) Indicador Ley 617/00 (GF/ICLD)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F34B7" w:rsidRPr="004F34B7" w:rsidRDefault="004F34B7" w:rsidP="004F34B7">
                  <w:pPr>
                    <w:spacing w:before="0" w:after="0"/>
                    <w:jc w:val="right"/>
                    <w:rPr>
                      <w:rFonts w:eastAsia="Times New Roman"/>
                      <w:color w:val="auto"/>
                      <w:sz w:val="18"/>
                      <w:szCs w:val="18"/>
                    </w:rPr>
                  </w:pPr>
                  <w:r w:rsidRPr="004F34B7">
                    <w:rPr>
                      <w:rFonts w:eastAsia="Times New Roman"/>
                      <w:b/>
                      <w:bCs/>
                      <w:color w:val="auto"/>
                      <w:sz w:val="18"/>
                      <w:szCs w:val="18"/>
                    </w:rPr>
                    <w:t>20,33%</w:t>
                  </w:r>
                </w:p>
              </w:tc>
            </w:tr>
          </w:tbl>
          <w:p w:rsidR="004F34B7" w:rsidRPr="004F34B7" w:rsidRDefault="004F34B7" w:rsidP="004F34B7">
            <w:pPr>
              <w:spacing w:before="0" w:after="0"/>
              <w:jc w:val="center"/>
              <w:rPr>
                <w:rFonts w:eastAsia="Times New Roman"/>
                <w:color w:val="auto"/>
                <w:sz w:val="18"/>
                <w:szCs w:val="18"/>
              </w:rPr>
            </w:pPr>
          </w:p>
        </w:tc>
      </w:tr>
      <w:tr w:rsidR="004F34B7" w:rsidRPr="004F34B7" w:rsidTr="00AB4AFF">
        <w:tblPrEx>
          <w:tblCellSpacing w:w="15" w:type="dxa"/>
          <w:tblBorders>
            <w:top w:val="none" w:sz="0" w:space="0" w:color="auto"/>
            <w:left w:val="none" w:sz="0" w:space="0" w:color="auto"/>
            <w:bottom w:val="none" w:sz="0" w:space="0" w:color="auto"/>
            <w:right w:val="none" w:sz="0" w:space="0" w:color="auto"/>
          </w:tblBorders>
        </w:tblPrEx>
        <w:trPr>
          <w:tblCellSpacing w:w="15" w:type="dxa"/>
          <w:jc w:val="center"/>
        </w:trPr>
        <w:tc>
          <w:tcPr>
            <w:tcW w:w="0" w:type="auto"/>
            <w:gridSpan w:val="4"/>
            <w:shd w:val="clear" w:color="auto" w:fill="EAF5FF"/>
            <w:vAlign w:val="center"/>
            <w:hideMark/>
          </w:tcPr>
          <w:p w:rsidR="004F34B7" w:rsidRPr="004F34B7" w:rsidRDefault="004F34B7" w:rsidP="004F34B7">
            <w:pPr>
              <w:spacing w:before="0" w:after="0"/>
              <w:rPr>
                <w:rFonts w:eastAsia="Times New Roman"/>
                <w:color w:val="auto"/>
                <w:sz w:val="18"/>
                <w:szCs w:val="18"/>
              </w:rPr>
            </w:pPr>
          </w:p>
        </w:tc>
      </w:tr>
      <w:tr w:rsidR="004F34B7" w:rsidRPr="004F34B7" w:rsidTr="00AB4AFF">
        <w:tblPrEx>
          <w:tblCellSpacing w:w="15" w:type="dxa"/>
          <w:tblBorders>
            <w:top w:val="none" w:sz="0" w:space="0" w:color="auto"/>
            <w:left w:val="none" w:sz="0" w:space="0" w:color="auto"/>
            <w:bottom w:val="none" w:sz="0" w:space="0" w:color="auto"/>
            <w:right w:val="none" w:sz="0" w:space="0" w:color="auto"/>
          </w:tblBorders>
        </w:tblPrEx>
        <w:trPr>
          <w:tblCellSpacing w:w="15" w:type="dxa"/>
          <w:jc w:val="center"/>
        </w:trPr>
        <w:tc>
          <w:tcPr>
            <w:tcW w:w="0" w:type="auto"/>
            <w:gridSpan w:val="4"/>
            <w:shd w:val="clear" w:color="auto" w:fill="EAF5FF"/>
            <w:vAlign w:val="center"/>
            <w:hideMark/>
          </w:tcPr>
          <w:p w:rsidR="004F34B7" w:rsidRPr="004F34B7" w:rsidRDefault="004F34B7" w:rsidP="004F34B7">
            <w:pPr>
              <w:spacing w:before="0" w:after="0"/>
              <w:rPr>
                <w:rFonts w:eastAsia="Times New Roman"/>
                <w:color w:val="auto"/>
                <w:sz w:val="18"/>
                <w:szCs w:val="18"/>
              </w:rPr>
            </w:pPr>
          </w:p>
        </w:tc>
      </w:tr>
    </w:tbl>
    <w:p w:rsidR="004F34B7" w:rsidRDefault="004F34B7" w:rsidP="00AC2164">
      <w:pPr>
        <w:spacing w:before="0" w:after="0"/>
        <w:rPr>
          <w:rFonts w:eastAsia="Times New Roman"/>
          <w:color w:val="auto"/>
          <w:sz w:val="18"/>
          <w:szCs w:val="18"/>
        </w:rPr>
      </w:pPr>
    </w:p>
    <w:p w:rsidR="005F5D93" w:rsidRDefault="00AC2164" w:rsidP="00AC2164">
      <w:pPr>
        <w:spacing w:before="0" w:after="0"/>
        <w:rPr>
          <w:rFonts w:eastAsia="Times New Roman"/>
          <w:color w:val="auto"/>
          <w:sz w:val="18"/>
          <w:szCs w:val="18"/>
        </w:rPr>
      </w:pPr>
      <w:r>
        <w:rPr>
          <w:rFonts w:eastAsia="Times New Roman"/>
          <w:color w:val="auto"/>
          <w:sz w:val="18"/>
          <w:szCs w:val="18"/>
        </w:rPr>
        <w:t>Información tomada de la página de la Contraloría General de la República</w:t>
      </w:r>
    </w:p>
    <w:p w:rsidR="004F34B7" w:rsidRPr="00AC2164" w:rsidRDefault="004F34B7" w:rsidP="00AC2164">
      <w:pPr>
        <w:spacing w:before="0" w:after="0"/>
        <w:rPr>
          <w:rFonts w:eastAsia="Times New Roman"/>
          <w:color w:val="auto"/>
          <w:sz w:val="18"/>
          <w:szCs w:val="18"/>
        </w:rPr>
      </w:pPr>
    </w:p>
    <w:p w:rsidR="005F5D93" w:rsidRDefault="00AC2164" w:rsidP="00AC2164">
      <w:pPr>
        <w:pStyle w:val="Ttulo2"/>
        <w:jc w:val="both"/>
        <w:rPr>
          <w:rFonts w:ascii="Tahoma" w:hAnsi="Tahoma" w:cs="Tahoma"/>
          <w:b w:val="0"/>
          <w:sz w:val="22"/>
          <w:lang w:val="es-CO"/>
        </w:rPr>
      </w:pPr>
      <w:r>
        <w:rPr>
          <w:rFonts w:ascii="Tahoma" w:hAnsi="Tahoma" w:cs="Tahoma"/>
          <w:b w:val="0"/>
          <w:sz w:val="22"/>
          <w:lang w:val="es-CO"/>
        </w:rPr>
        <w:t>Teniendo en cuenta la certificación de Ingresos corrientes de Libre Destinación expedida por la Contraloría General de la República</w:t>
      </w:r>
      <w:r w:rsidR="005F4A02">
        <w:rPr>
          <w:rFonts w:ascii="Tahoma" w:hAnsi="Tahoma" w:cs="Tahoma"/>
          <w:b w:val="0"/>
          <w:sz w:val="22"/>
          <w:lang w:val="es-CO"/>
        </w:rPr>
        <w:t xml:space="preserve"> y</w:t>
      </w:r>
      <w:r w:rsidR="002206E8">
        <w:rPr>
          <w:rFonts w:ascii="Tahoma" w:hAnsi="Tahoma" w:cs="Tahoma"/>
          <w:b w:val="0"/>
          <w:sz w:val="22"/>
          <w:lang w:val="es-CO"/>
        </w:rPr>
        <w:t xml:space="preserve"> la Ejecución presupuestal de Ingresos y Gastos</w:t>
      </w:r>
      <w:r w:rsidR="005F4A02">
        <w:rPr>
          <w:rFonts w:ascii="Tahoma" w:hAnsi="Tahoma" w:cs="Tahoma"/>
          <w:b w:val="0"/>
          <w:sz w:val="22"/>
          <w:lang w:val="es-CO"/>
        </w:rPr>
        <w:t>,</w:t>
      </w:r>
      <w:r>
        <w:rPr>
          <w:rFonts w:ascii="Tahoma" w:hAnsi="Tahoma" w:cs="Tahoma"/>
          <w:b w:val="0"/>
          <w:sz w:val="22"/>
          <w:lang w:val="es-CO"/>
        </w:rPr>
        <w:t xml:space="preserve"> se </w:t>
      </w:r>
      <w:r w:rsidR="004B7B3F">
        <w:rPr>
          <w:rFonts w:ascii="Tahoma" w:hAnsi="Tahoma" w:cs="Tahoma"/>
          <w:b w:val="0"/>
          <w:sz w:val="22"/>
          <w:lang w:val="es-CO"/>
        </w:rPr>
        <w:t>evidenci</w:t>
      </w:r>
      <w:r>
        <w:rPr>
          <w:rFonts w:ascii="Tahoma" w:hAnsi="Tahoma" w:cs="Tahoma"/>
          <w:b w:val="0"/>
          <w:sz w:val="22"/>
          <w:lang w:val="es-CO"/>
        </w:rPr>
        <w:t xml:space="preserve">ó que el Municipio de </w:t>
      </w:r>
      <w:r w:rsidR="004F34B7">
        <w:rPr>
          <w:rFonts w:ascii="Tahoma" w:hAnsi="Tahoma" w:cs="Tahoma"/>
          <w:b w:val="0"/>
          <w:sz w:val="22"/>
          <w:lang w:val="es-CO"/>
        </w:rPr>
        <w:t>Hond</w:t>
      </w:r>
      <w:r>
        <w:rPr>
          <w:rFonts w:ascii="Tahoma" w:hAnsi="Tahoma" w:cs="Tahoma"/>
          <w:b w:val="0"/>
          <w:sz w:val="22"/>
          <w:lang w:val="es-CO"/>
        </w:rPr>
        <w:t xml:space="preserve">a </w:t>
      </w:r>
      <w:r w:rsidRPr="007C336F">
        <w:rPr>
          <w:rFonts w:ascii="Tahoma" w:hAnsi="Tahoma" w:cs="Tahoma"/>
          <w:sz w:val="22"/>
          <w:lang w:val="es-CO"/>
        </w:rPr>
        <w:t>CUMPLE</w:t>
      </w:r>
      <w:r>
        <w:rPr>
          <w:rFonts w:ascii="Tahoma" w:hAnsi="Tahoma" w:cs="Tahoma"/>
          <w:b w:val="0"/>
          <w:sz w:val="22"/>
          <w:lang w:val="es-CO"/>
        </w:rPr>
        <w:t xml:space="preserve"> con el indicador de ley 617 de 2000, toda vez que los Gastos de funcionamiento para la vigencia fiscal 2015 fueron de</w:t>
      </w:r>
      <w:r w:rsidR="00C12F15">
        <w:rPr>
          <w:rFonts w:ascii="Tahoma" w:hAnsi="Tahoma" w:cs="Tahoma"/>
          <w:b w:val="0"/>
          <w:sz w:val="22"/>
          <w:lang w:val="es-CO"/>
        </w:rPr>
        <w:t>l</w:t>
      </w:r>
      <w:r>
        <w:rPr>
          <w:rFonts w:ascii="Tahoma" w:hAnsi="Tahoma" w:cs="Tahoma"/>
          <w:b w:val="0"/>
          <w:sz w:val="22"/>
          <w:lang w:val="es-CO"/>
        </w:rPr>
        <w:t xml:space="preserve"> </w:t>
      </w:r>
      <w:r w:rsidRPr="004A698D">
        <w:rPr>
          <w:rFonts w:ascii="Tahoma" w:hAnsi="Tahoma" w:cs="Tahoma"/>
          <w:sz w:val="22"/>
          <w:lang w:val="es-CO"/>
        </w:rPr>
        <w:t>5</w:t>
      </w:r>
      <w:r w:rsidR="00C563B0">
        <w:rPr>
          <w:rFonts w:ascii="Tahoma" w:hAnsi="Tahoma" w:cs="Tahoma"/>
          <w:sz w:val="22"/>
          <w:lang w:val="es-CO"/>
        </w:rPr>
        <w:t>9</w:t>
      </w:r>
      <w:r w:rsidRPr="004A698D">
        <w:rPr>
          <w:rFonts w:ascii="Tahoma" w:hAnsi="Tahoma" w:cs="Tahoma"/>
          <w:sz w:val="22"/>
          <w:lang w:val="es-CO"/>
        </w:rPr>
        <w:t>.</w:t>
      </w:r>
      <w:r w:rsidR="00C563B0">
        <w:rPr>
          <w:rFonts w:ascii="Tahoma" w:hAnsi="Tahoma" w:cs="Tahoma"/>
          <w:sz w:val="22"/>
          <w:lang w:val="es-CO"/>
        </w:rPr>
        <w:t>67</w:t>
      </w:r>
      <w:r w:rsidRPr="004A698D">
        <w:rPr>
          <w:rFonts w:ascii="Tahoma" w:hAnsi="Tahoma" w:cs="Tahoma"/>
          <w:sz w:val="22"/>
          <w:lang w:val="es-CO"/>
        </w:rPr>
        <w:t>%</w:t>
      </w:r>
      <w:r>
        <w:rPr>
          <w:rFonts w:ascii="Tahoma" w:hAnsi="Tahoma" w:cs="Tahoma"/>
          <w:b w:val="0"/>
          <w:sz w:val="22"/>
          <w:lang w:val="es-CO"/>
        </w:rPr>
        <w:t xml:space="preserve"> dónde el límite máximo es del 80%.</w:t>
      </w:r>
    </w:p>
    <w:p w:rsidR="00AB4AFF" w:rsidRDefault="00AB4AFF" w:rsidP="004B7B3F">
      <w:pPr>
        <w:spacing w:before="0" w:after="0"/>
        <w:jc w:val="both"/>
        <w:rPr>
          <w:rFonts w:ascii="Tahoma" w:eastAsia="Times New Roman" w:hAnsi="Tahoma" w:cs="Tahoma"/>
          <w:b/>
          <w:bCs/>
          <w:color w:val="auto"/>
        </w:rPr>
      </w:pPr>
    </w:p>
    <w:p w:rsidR="004B7B3F" w:rsidRPr="00776215" w:rsidRDefault="00E15E67" w:rsidP="004B7B3F">
      <w:pPr>
        <w:spacing w:before="0" w:after="0"/>
        <w:jc w:val="both"/>
        <w:rPr>
          <w:rFonts w:ascii="Tahoma" w:eastAsia="Times New Roman" w:hAnsi="Tahoma" w:cs="Tahoma"/>
          <w:b/>
          <w:bCs/>
          <w:color w:val="auto"/>
        </w:rPr>
      </w:pPr>
      <w:r w:rsidRPr="00776215">
        <w:rPr>
          <w:rFonts w:ascii="Tahoma" w:eastAsia="Times New Roman" w:hAnsi="Tahoma" w:cs="Tahoma"/>
          <w:b/>
          <w:bCs/>
          <w:color w:val="auto"/>
        </w:rPr>
        <w:t xml:space="preserve">GASTOS DE LAS CORPORACIONES </w:t>
      </w:r>
      <w:r w:rsidR="005F4A02" w:rsidRPr="00776215">
        <w:rPr>
          <w:rFonts w:ascii="Tahoma" w:eastAsia="Times New Roman" w:hAnsi="Tahoma" w:cs="Tahoma"/>
          <w:b/>
          <w:bCs/>
          <w:color w:val="auto"/>
        </w:rPr>
        <w:t>PÚBLICAS</w:t>
      </w:r>
      <w:r w:rsidRPr="00776215">
        <w:rPr>
          <w:rFonts w:ascii="Tahoma" w:eastAsia="Times New Roman" w:hAnsi="Tahoma" w:cs="Tahoma"/>
          <w:b/>
          <w:bCs/>
          <w:color w:val="auto"/>
        </w:rPr>
        <w:t xml:space="preserve"> – CONCEJO MUNICIPAL</w:t>
      </w:r>
    </w:p>
    <w:p w:rsidR="00E15E67" w:rsidRPr="00776215" w:rsidRDefault="00E15E67" w:rsidP="004B7B3F">
      <w:pPr>
        <w:spacing w:before="0" w:after="0"/>
        <w:jc w:val="both"/>
        <w:rPr>
          <w:rFonts w:ascii="Tahoma" w:eastAsia="Times New Roman" w:hAnsi="Tahoma" w:cs="Tahoma"/>
          <w:b/>
          <w:bCs/>
          <w:color w:val="auto"/>
        </w:rPr>
      </w:pPr>
    </w:p>
    <w:p w:rsidR="00763FDB" w:rsidRPr="00B718ED" w:rsidRDefault="00E15E67" w:rsidP="004B7B3F">
      <w:pPr>
        <w:spacing w:before="0" w:after="0"/>
        <w:jc w:val="both"/>
        <w:rPr>
          <w:rFonts w:ascii="Tahoma" w:hAnsi="Tahoma" w:cs="Tahoma"/>
          <w:u w:val="single"/>
        </w:rPr>
      </w:pPr>
      <w:r w:rsidRPr="00A66750">
        <w:rPr>
          <w:rFonts w:ascii="Tahoma" w:eastAsia="Times New Roman" w:hAnsi="Tahoma" w:cs="Tahoma"/>
          <w:bCs/>
          <w:color w:val="auto"/>
        </w:rPr>
        <w:t xml:space="preserve">El </w:t>
      </w:r>
      <w:r w:rsidR="00C86CA5">
        <w:rPr>
          <w:rFonts w:ascii="Tahoma" w:eastAsia="Times New Roman" w:hAnsi="Tahoma" w:cs="Tahoma"/>
          <w:bCs/>
          <w:color w:val="auto"/>
        </w:rPr>
        <w:t>ente Territorial</w:t>
      </w:r>
      <w:r w:rsidRPr="00A66750">
        <w:rPr>
          <w:rFonts w:ascii="Tahoma" w:eastAsia="Times New Roman" w:hAnsi="Tahoma" w:cs="Tahoma"/>
          <w:bCs/>
          <w:color w:val="auto"/>
        </w:rPr>
        <w:t xml:space="preserve"> para la vigencia 2015, le transfirió al Concejo Municipal la suma de $1</w:t>
      </w:r>
      <w:r w:rsidR="00F26852">
        <w:rPr>
          <w:rFonts w:ascii="Tahoma" w:eastAsia="Times New Roman" w:hAnsi="Tahoma" w:cs="Tahoma"/>
          <w:bCs/>
          <w:color w:val="auto"/>
        </w:rPr>
        <w:t>98</w:t>
      </w:r>
      <w:r w:rsidR="00EE23CA" w:rsidRPr="00EE23CA">
        <w:rPr>
          <w:rFonts w:ascii="Tahoma" w:hAnsi="Tahoma" w:cs="Tahoma"/>
          <w:color w:val="auto"/>
        </w:rPr>
        <w:t xml:space="preserve"> </w:t>
      </w:r>
      <w:r w:rsidR="00EE23CA">
        <w:rPr>
          <w:rFonts w:ascii="Tahoma" w:hAnsi="Tahoma" w:cs="Tahoma"/>
          <w:color w:val="auto"/>
        </w:rPr>
        <w:t>millones</w:t>
      </w:r>
      <w:r w:rsidR="005F4A02" w:rsidRPr="00A66750">
        <w:rPr>
          <w:rFonts w:ascii="Tahoma" w:eastAsia="Times New Roman" w:hAnsi="Tahoma" w:cs="Tahoma"/>
          <w:bCs/>
          <w:color w:val="auto"/>
        </w:rPr>
        <w:t>, de los cuales $1</w:t>
      </w:r>
      <w:r w:rsidR="00874728">
        <w:rPr>
          <w:rFonts w:ascii="Tahoma" w:eastAsia="Times New Roman" w:hAnsi="Tahoma" w:cs="Tahoma"/>
          <w:bCs/>
          <w:color w:val="auto"/>
        </w:rPr>
        <w:t>18</w:t>
      </w:r>
      <w:r w:rsidR="00EE23CA">
        <w:rPr>
          <w:rFonts w:ascii="Tahoma" w:eastAsia="Times New Roman" w:hAnsi="Tahoma" w:cs="Tahoma"/>
          <w:bCs/>
          <w:color w:val="auto"/>
        </w:rPr>
        <w:t xml:space="preserve"> </w:t>
      </w:r>
      <w:r w:rsidR="00EE23CA">
        <w:rPr>
          <w:rFonts w:ascii="Tahoma" w:hAnsi="Tahoma" w:cs="Tahoma"/>
          <w:color w:val="auto"/>
        </w:rPr>
        <w:t>millones</w:t>
      </w:r>
      <w:r w:rsidR="005F4A02" w:rsidRPr="00A66750">
        <w:rPr>
          <w:rFonts w:ascii="Tahoma" w:eastAsia="Times New Roman" w:hAnsi="Tahoma" w:cs="Tahoma"/>
          <w:bCs/>
          <w:color w:val="auto"/>
        </w:rPr>
        <w:t xml:space="preserve"> correspondieron a honorarios de Concejales y $</w:t>
      </w:r>
      <w:r w:rsidR="00874728">
        <w:rPr>
          <w:rFonts w:ascii="Tahoma" w:eastAsia="Times New Roman" w:hAnsi="Tahoma" w:cs="Tahoma"/>
          <w:bCs/>
          <w:color w:val="auto"/>
        </w:rPr>
        <w:t>80</w:t>
      </w:r>
      <w:r w:rsidR="00EE23CA">
        <w:rPr>
          <w:rFonts w:ascii="Tahoma" w:eastAsia="Times New Roman" w:hAnsi="Tahoma" w:cs="Tahoma"/>
          <w:bCs/>
          <w:color w:val="auto"/>
        </w:rPr>
        <w:t xml:space="preserve"> </w:t>
      </w:r>
      <w:r w:rsidR="00EE23CA">
        <w:rPr>
          <w:rFonts w:ascii="Tahoma" w:hAnsi="Tahoma" w:cs="Tahoma"/>
          <w:color w:val="auto"/>
        </w:rPr>
        <w:t>millones</w:t>
      </w:r>
      <w:r w:rsidR="005F4A02" w:rsidRPr="00A66750">
        <w:rPr>
          <w:rFonts w:ascii="Tahoma" w:eastAsia="Times New Roman" w:hAnsi="Tahoma" w:cs="Tahoma"/>
          <w:bCs/>
          <w:color w:val="auto"/>
        </w:rPr>
        <w:t xml:space="preserve"> para gastos de funcionamiento</w:t>
      </w:r>
      <w:r w:rsidR="007B5621" w:rsidRPr="00A66750">
        <w:rPr>
          <w:rFonts w:ascii="Tahoma" w:eastAsia="Times New Roman" w:hAnsi="Tahoma" w:cs="Tahoma"/>
          <w:bCs/>
          <w:color w:val="auto"/>
        </w:rPr>
        <w:t xml:space="preserve">, con ello </w:t>
      </w:r>
      <w:r w:rsidR="001B475A">
        <w:rPr>
          <w:rFonts w:ascii="Tahoma" w:eastAsia="Times New Roman" w:hAnsi="Tahoma" w:cs="Tahoma"/>
          <w:bCs/>
          <w:color w:val="auto"/>
        </w:rPr>
        <w:t xml:space="preserve">el Municipio de </w:t>
      </w:r>
      <w:r w:rsidR="00874728">
        <w:rPr>
          <w:rFonts w:ascii="Tahoma" w:eastAsia="Times New Roman" w:hAnsi="Tahoma" w:cs="Tahoma"/>
          <w:bCs/>
          <w:color w:val="auto"/>
        </w:rPr>
        <w:t>Honda</w:t>
      </w:r>
      <w:r w:rsidR="001B475A">
        <w:rPr>
          <w:rFonts w:ascii="Tahoma" w:eastAsia="Times New Roman" w:hAnsi="Tahoma" w:cs="Tahoma"/>
          <w:bCs/>
          <w:color w:val="auto"/>
        </w:rPr>
        <w:t xml:space="preserve"> </w:t>
      </w:r>
      <w:r w:rsidR="007A46D7" w:rsidRPr="00B718ED">
        <w:rPr>
          <w:rFonts w:ascii="Tahoma" w:eastAsia="Times New Roman" w:hAnsi="Tahoma" w:cs="Tahoma"/>
          <w:b/>
          <w:bCs/>
          <w:color w:val="auto"/>
        </w:rPr>
        <w:t>NO</w:t>
      </w:r>
      <w:r w:rsidR="007A46D7">
        <w:rPr>
          <w:rFonts w:ascii="Tahoma" w:eastAsia="Times New Roman" w:hAnsi="Tahoma" w:cs="Tahoma"/>
          <w:bCs/>
          <w:color w:val="auto"/>
        </w:rPr>
        <w:t xml:space="preserve"> </w:t>
      </w:r>
      <w:r w:rsidR="00640913" w:rsidRPr="00A66750">
        <w:rPr>
          <w:rFonts w:ascii="Tahoma" w:eastAsia="Times New Roman" w:hAnsi="Tahoma" w:cs="Tahoma"/>
          <w:bCs/>
          <w:color w:val="auto"/>
        </w:rPr>
        <w:t>d</w:t>
      </w:r>
      <w:r w:rsidR="001B475A">
        <w:rPr>
          <w:rFonts w:ascii="Tahoma" w:eastAsia="Times New Roman" w:hAnsi="Tahoma" w:cs="Tahoma"/>
          <w:bCs/>
          <w:color w:val="auto"/>
        </w:rPr>
        <w:t>io</w:t>
      </w:r>
      <w:r w:rsidR="00640913" w:rsidRPr="00A66750">
        <w:rPr>
          <w:rFonts w:ascii="Tahoma" w:eastAsia="Times New Roman" w:hAnsi="Tahoma" w:cs="Tahoma"/>
          <w:bCs/>
          <w:color w:val="auto"/>
        </w:rPr>
        <w:t xml:space="preserve"> </w:t>
      </w:r>
      <w:r w:rsidR="00640913" w:rsidRPr="00A66750">
        <w:rPr>
          <w:rFonts w:ascii="Tahoma" w:hAnsi="Tahoma" w:cs="Tahoma"/>
        </w:rPr>
        <w:t>cumplimiento a lo establec</w:t>
      </w:r>
      <w:r w:rsidR="00A66750" w:rsidRPr="00A66750">
        <w:rPr>
          <w:rFonts w:ascii="Tahoma" w:hAnsi="Tahoma" w:cs="Tahoma"/>
        </w:rPr>
        <w:t xml:space="preserve">ido en </w:t>
      </w:r>
      <w:r w:rsidR="00640913" w:rsidRPr="00A66750">
        <w:rPr>
          <w:rFonts w:ascii="Tahoma" w:hAnsi="Tahoma" w:cs="Tahoma"/>
        </w:rPr>
        <w:t>la Ley 617 de</w:t>
      </w:r>
      <w:r w:rsidR="00C86CA5">
        <w:rPr>
          <w:rFonts w:ascii="Tahoma" w:hAnsi="Tahoma" w:cs="Tahoma"/>
        </w:rPr>
        <w:t xml:space="preserve"> 2000 artículo 10,</w:t>
      </w:r>
      <w:r w:rsidR="005172FE">
        <w:rPr>
          <w:rFonts w:ascii="Tahoma" w:hAnsi="Tahoma" w:cs="Tahoma"/>
        </w:rPr>
        <w:t xml:space="preserve"> que en lo pertinente dice: “</w:t>
      </w:r>
      <w:r w:rsidR="005172FE" w:rsidRPr="00AB4AFF">
        <w:rPr>
          <w:rFonts w:ascii="Tahoma" w:hAnsi="Tahoma" w:cs="Tahoma"/>
          <w:i/>
        </w:rPr>
        <w:t>Durante cada vigencia fiscal, los gastos de los Concejos no podrán superar el valor correspondiente al total de los honorarios que se causen por el número de sesiones autorizado en el artículo 20 de esta ley más el uno punto cinco por ciento (1.5%) de los ingresos corrientes de libre destinación</w:t>
      </w:r>
      <w:r w:rsidR="005172FE">
        <w:rPr>
          <w:rFonts w:ascii="Tahoma" w:hAnsi="Tahoma" w:cs="Tahoma"/>
        </w:rPr>
        <w:t>”.</w:t>
      </w:r>
      <w:r w:rsidR="00763FDB">
        <w:rPr>
          <w:rFonts w:ascii="Tahoma" w:hAnsi="Tahoma" w:cs="Tahoma"/>
        </w:rPr>
        <w:t xml:space="preserve"> Es decir, </w:t>
      </w:r>
      <w:r w:rsidR="001B475A">
        <w:rPr>
          <w:rFonts w:ascii="Tahoma" w:hAnsi="Tahoma" w:cs="Tahoma"/>
        </w:rPr>
        <w:t>l</w:t>
      </w:r>
      <w:r w:rsidR="00763FDB">
        <w:rPr>
          <w:rFonts w:ascii="Tahoma" w:hAnsi="Tahoma" w:cs="Tahoma"/>
        </w:rPr>
        <w:t>a suma de $</w:t>
      </w:r>
      <w:r w:rsidR="007A46D7">
        <w:rPr>
          <w:rFonts w:ascii="Tahoma" w:hAnsi="Tahoma" w:cs="Tahoma"/>
        </w:rPr>
        <w:t>65.584.290.oo</w:t>
      </w:r>
      <w:r w:rsidR="00750582">
        <w:rPr>
          <w:rFonts w:ascii="Tahoma" w:hAnsi="Tahoma" w:cs="Tahoma"/>
        </w:rPr>
        <w:t>.  Significa lo anterior que el Municipio de Honda</w:t>
      </w:r>
      <w:r w:rsidR="00AB4AFF">
        <w:rPr>
          <w:rFonts w:ascii="Tahoma" w:hAnsi="Tahoma" w:cs="Tahoma"/>
        </w:rPr>
        <w:t xml:space="preserve"> </w:t>
      </w:r>
      <w:r w:rsidR="00AB4AFF" w:rsidRPr="00B718ED">
        <w:rPr>
          <w:rFonts w:ascii="Tahoma" w:hAnsi="Tahoma" w:cs="Tahoma"/>
          <w:u w:val="single"/>
        </w:rPr>
        <w:t xml:space="preserve">le </w:t>
      </w:r>
      <w:r w:rsidR="00750582" w:rsidRPr="00B718ED">
        <w:rPr>
          <w:rFonts w:ascii="Tahoma" w:hAnsi="Tahoma" w:cs="Tahoma"/>
          <w:u w:val="single"/>
        </w:rPr>
        <w:t xml:space="preserve">transfirió </w:t>
      </w:r>
      <w:r w:rsidR="00AB4AFF" w:rsidRPr="00B718ED">
        <w:rPr>
          <w:rFonts w:ascii="Tahoma" w:hAnsi="Tahoma" w:cs="Tahoma"/>
          <w:u w:val="single"/>
        </w:rPr>
        <w:t xml:space="preserve">de más </w:t>
      </w:r>
      <w:r w:rsidR="00750582" w:rsidRPr="00B718ED">
        <w:rPr>
          <w:rFonts w:ascii="Tahoma" w:hAnsi="Tahoma" w:cs="Tahoma"/>
          <w:u w:val="single"/>
        </w:rPr>
        <w:t>al concejo Municipal</w:t>
      </w:r>
      <w:r w:rsidR="00AB4AFF" w:rsidRPr="00B718ED">
        <w:rPr>
          <w:rFonts w:ascii="Tahoma" w:hAnsi="Tahoma" w:cs="Tahoma"/>
          <w:u w:val="single"/>
        </w:rPr>
        <w:t xml:space="preserve"> la suma de  $14.585.302.oo para gastos de Funcionamiento, incumpliendo con ello a lo establecido en la Ley 617 de 2000 artículo 10.</w:t>
      </w:r>
    </w:p>
    <w:p w:rsidR="00AB4AFF" w:rsidRDefault="00AB4AFF" w:rsidP="004B7B3F">
      <w:pPr>
        <w:spacing w:before="0" w:after="0"/>
        <w:jc w:val="both"/>
        <w:rPr>
          <w:rFonts w:ascii="Tahoma" w:hAnsi="Tahoma" w:cs="Tahoma"/>
        </w:rPr>
      </w:pPr>
    </w:p>
    <w:p w:rsidR="00231ECA" w:rsidRDefault="00750582" w:rsidP="004B7B3F">
      <w:pPr>
        <w:spacing w:before="0" w:after="0"/>
        <w:jc w:val="both"/>
        <w:rPr>
          <w:rFonts w:eastAsia="Times New Roman"/>
          <w:b/>
          <w:bCs/>
          <w:color w:val="auto"/>
          <w:sz w:val="20"/>
          <w:szCs w:val="20"/>
        </w:rPr>
      </w:pPr>
      <w:r w:rsidRPr="00750582">
        <w:rPr>
          <w:noProof/>
        </w:rPr>
        <w:drawing>
          <wp:inline distT="0" distB="0" distL="0" distR="0" wp14:anchorId="5F71EEF1" wp14:editId="30E88E6F">
            <wp:extent cx="5615940" cy="838200"/>
            <wp:effectExtent l="0" t="0" r="381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612130" cy="837631"/>
                    </a:xfrm>
                    <a:prstGeom prst="rect">
                      <a:avLst/>
                    </a:prstGeom>
                  </pic:spPr>
                </pic:pic>
              </a:graphicData>
            </a:graphic>
          </wp:inline>
        </w:drawing>
      </w:r>
    </w:p>
    <w:p w:rsidR="00231ECA" w:rsidRDefault="00231ECA" w:rsidP="004B7B3F">
      <w:pPr>
        <w:spacing w:before="0" w:after="0"/>
        <w:jc w:val="both"/>
        <w:rPr>
          <w:rFonts w:eastAsia="Times New Roman"/>
          <w:b/>
          <w:bCs/>
          <w:color w:val="auto"/>
          <w:sz w:val="20"/>
          <w:szCs w:val="20"/>
        </w:rPr>
      </w:pPr>
    </w:p>
    <w:p w:rsidR="009F248B" w:rsidRPr="00CA76CA" w:rsidRDefault="009F248B" w:rsidP="004B7B3F">
      <w:pPr>
        <w:spacing w:before="0" w:after="0"/>
        <w:jc w:val="both"/>
        <w:rPr>
          <w:rFonts w:ascii="Tahoma" w:eastAsia="Times New Roman" w:hAnsi="Tahoma" w:cs="Tahoma"/>
          <w:b/>
          <w:bCs/>
          <w:color w:val="auto"/>
        </w:rPr>
      </w:pPr>
      <w:r w:rsidRPr="00CA76CA">
        <w:rPr>
          <w:rFonts w:ascii="Tahoma" w:eastAsia="Times New Roman" w:hAnsi="Tahoma" w:cs="Tahoma"/>
          <w:b/>
          <w:bCs/>
          <w:color w:val="auto"/>
        </w:rPr>
        <w:lastRenderedPageBreak/>
        <w:t>GASTOS DE LAS PERSONERIAS</w:t>
      </w:r>
    </w:p>
    <w:p w:rsidR="009F248B" w:rsidRPr="00CA76CA" w:rsidRDefault="009F248B" w:rsidP="004B7B3F">
      <w:pPr>
        <w:spacing w:before="0" w:after="0"/>
        <w:jc w:val="both"/>
        <w:rPr>
          <w:rFonts w:ascii="Tahoma" w:eastAsia="Times New Roman" w:hAnsi="Tahoma" w:cs="Tahoma"/>
          <w:bCs/>
          <w:color w:val="auto"/>
        </w:rPr>
      </w:pPr>
    </w:p>
    <w:p w:rsidR="00D34898" w:rsidRPr="00CA76CA" w:rsidRDefault="00A05F58" w:rsidP="004B7B3F">
      <w:pPr>
        <w:spacing w:before="0" w:after="0"/>
        <w:jc w:val="both"/>
        <w:rPr>
          <w:rFonts w:ascii="Tahoma" w:eastAsia="Times New Roman" w:hAnsi="Tahoma" w:cs="Tahoma"/>
          <w:bCs/>
          <w:color w:val="auto"/>
        </w:rPr>
      </w:pPr>
      <w:r w:rsidRPr="00CA76CA">
        <w:rPr>
          <w:rFonts w:ascii="Tahoma" w:eastAsia="Times New Roman" w:hAnsi="Tahoma" w:cs="Tahoma"/>
          <w:bCs/>
          <w:color w:val="auto"/>
        </w:rPr>
        <w:t>La ley 617 de 2000, en su artículo 10, establece el valor máximo  de los gastos de funcionamiento para las Personerías Municipales</w:t>
      </w:r>
      <w:r w:rsidR="008C73D6" w:rsidRPr="00CA76CA">
        <w:rPr>
          <w:rFonts w:ascii="Tahoma" w:eastAsia="Times New Roman" w:hAnsi="Tahoma" w:cs="Tahoma"/>
          <w:bCs/>
          <w:color w:val="auto"/>
        </w:rPr>
        <w:t xml:space="preserve"> de acuerdo a la categoría del Municipio.  Para el Municipio de </w:t>
      </w:r>
      <w:r w:rsidR="00F14702">
        <w:rPr>
          <w:rFonts w:ascii="Tahoma" w:eastAsia="Times New Roman" w:hAnsi="Tahoma" w:cs="Tahoma"/>
          <w:bCs/>
          <w:color w:val="auto"/>
        </w:rPr>
        <w:t>Honda</w:t>
      </w:r>
      <w:r w:rsidR="008C73D6" w:rsidRPr="00CA76CA">
        <w:rPr>
          <w:rFonts w:ascii="Tahoma" w:eastAsia="Times New Roman" w:hAnsi="Tahoma" w:cs="Tahoma"/>
          <w:bCs/>
          <w:color w:val="auto"/>
        </w:rPr>
        <w:t xml:space="preserve"> </w:t>
      </w:r>
      <w:r w:rsidR="00D34898" w:rsidRPr="00CA76CA">
        <w:rPr>
          <w:rFonts w:ascii="Tahoma" w:eastAsia="Times New Roman" w:hAnsi="Tahoma" w:cs="Tahoma"/>
          <w:bCs/>
          <w:color w:val="auto"/>
        </w:rPr>
        <w:t>que se encuentra clasificado en Sexta Categoría, los gastos no podrán superar los 150 SMMV, es decir, para la vigencia 2015 la suma de $96.652.500.oo</w:t>
      </w:r>
    </w:p>
    <w:p w:rsidR="00D34898" w:rsidRPr="00CA76CA" w:rsidRDefault="00ED6C00" w:rsidP="004B7B3F">
      <w:pPr>
        <w:spacing w:before="0" w:after="0"/>
        <w:jc w:val="both"/>
        <w:rPr>
          <w:rFonts w:ascii="Tahoma" w:eastAsia="Times New Roman" w:hAnsi="Tahoma" w:cs="Tahoma"/>
          <w:bCs/>
          <w:color w:val="auto"/>
        </w:rPr>
      </w:pPr>
      <w:r>
        <w:rPr>
          <w:rFonts w:ascii="Tahoma" w:eastAsia="Times New Roman" w:hAnsi="Tahoma" w:cs="Tahoma"/>
          <w:bCs/>
          <w:color w:val="auto"/>
        </w:rPr>
        <w:t xml:space="preserve"> </w:t>
      </w:r>
    </w:p>
    <w:p w:rsidR="00F344D5" w:rsidRPr="00CA76CA" w:rsidRDefault="00F344D5" w:rsidP="004B7B3F">
      <w:pPr>
        <w:spacing w:before="0" w:after="0"/>
        <w:jc w:val="both"/>
        <w:rPr>
          <w:rFonts w:ascii="Tahoma" w:eastAsia="Times New Roman" w:hAnsi="Tahoma" w:cs="Tahoma"/>
          <w:bCs/>
          <w:color w:val="auto"/>
        </w:rPr>
      </w:pPr>
      <w:r w:rsidRPr="00CA76CA">
        <w:rPr>
          <w:rFonts w:ascii="Tahoma" w:eastAsia="Times New Roman" w:hAnsi="Tahoma" w:cs="Tahoma"/>
          <w:bCs/>
          <w:color w:val="auto"/>
        </w:rPr>
        <w:t>Por</w:t>
      </w:r>
      <w:r w:rsidR="00D34898" w:rsidRPr="00CA76CA">
        <w:rPr>
          <w:rFonts w:ascii="Tahoma" w:eastAsia="Times New Roman" w:hAnsi="Tahoma" w:cs="Tahoma"/>
          <w:bCs/>
          <w:color w:val="auto"/>
        </w:rPr>
        <w:t xml:space="preserve"> lo anterior, se observó que la entidad Territorial, </w:t>
      </w:r>
      <w:r w:rsidRPr="00CA76CA">
        <w:rPr>
          <w:rFonts w:ascii="Tahoma" w:eastAsia="Times New Roman" w:hAnsi="Tahoma" w:cs="Tahoma"/>
          <w:bCs/>
          <w:color w:val="auto"/>
        </w:rPr>
        <w:t xml:space="preserve">cumplió con lo Establecido en la ley 617 de 2000, toda vez que </w:t>
      </w:r>
      <w:r w:rsidR="009A2DAC">
        <w:rPr>
          <w:rFonts w:ascii="Tahoma" w:eastAsia="Times New Roman" w:hAnsi="Tahoma" w:cs="Tahoma"/>
          <w:bCs/>
          <w:color w:val="auto"/>
        </w:rPr>
        <w:t xml:space="preserve">el total comprometido de la Personería Municipal fue de 96 millones de pesos, equivalentes a </w:t>
      </w:r>
      <w:r w:rsidR="00D34898" w:rsidRPr="00CA76CA">
        <w:rPr>
          <w:rFonts w:ascii="Tahoma" w:eastAsia="Times New Roman" w:hAnsi="Tahoma" w:cs="Tahoma"/>
          <w:bCs/>
          <w:color w:val="auto"/>
        </w:rPr>
        <w:t>150</w:t>
      </w:r>
      <w:r w:rsidRPr="00CA76CA">
        <w:rPr>
          <w:rFonts w:ascii="Tahoma" w:eastAsia="Times New Roman" w:hAnsi="Tahoma" w:cs="Tahoma"/>
          <w:bCs/>
          <w:color w:val="auto"/>
        </w:rPr>
        <w:t xml:space="preserve"> SM</w:t>
      </w:r>
      <w:r w:rsidR="00D34898" w:rsidRPr="00CA76CA">
        <w:rPr>
          <w:rFonts w:ascii="Tahoma" w:eastAsia="Times New Roman" w:hAnsi="Tahoma" w:cs="Tahoma"/>
          <w:bCs/>
          <w:color w:val="auto"/>
        </w:rPr>
        <w:t>M</w:t>
      </w:r>
      <w:r w:rsidR="00425FF4" w:rsidRPr="00CA76CA">
        <w:rPr>
          <w:rFonts w:ascii="Tahoma" w:eastAsia="Times New Roman" w:hAnsi="Tahoma" w:cs="Tahoma"/>
          <w:bCs/>
          <w:color w:val="auto"/>
        </w:rPr>
        <w:t>V, ver tabla.</w:t>
      </w:r>
    </w:p>
    <w:p w:rsidR="00425FF4" w:rsidRPr="00A05F58" w:rsidRDefault="00425FF4" w:rsidP="004B7B3F">
      <w:pPr>
        <w:spacing w:before="0" w:after="0"/>
        <w:jc w:val="both"/>
        <w:rPr>
          <w:rFonts w:eastAsia="Times New Roman"/>
          <w:bCs/>
          <w:color w:val="auto"/>
          <w:sz w:val="20"/>
          <w:szCs w:val="20"/>
        </w:rPr>
      </w:pPr>
    </w:p>
    <w:tbl>
      <w:tblPr>
        <w:tblStyle w:val="Tablaconcuadrcula"/>
        <w:tblW w:w="0" w:type="auto"/>
        <w:tblLook w:val="04A0" w:firstRow="1" w:lastRow="0" w:firstColumn="1" w:lastColumn="0" w:noHBand="0" w:noVBand="1"/>
      </w:tblPr>
      <w:tblGrid>
        <w:gridCol w:w="2245"/>
        <w:gridCol w:w="2245"/>
        <w:gridCol w:w="2245"/>
        <w:gridCol w:w="2245"/>
      </w:tblGrid>
      <w:tr w:rsidR="00425FF4" w:rsidTr="00425FF4">
        <w:tc>
          <w:tcPr>
            <w:tcW w:w="2245" w:type="dxa"/>
          </w:tcPr>
          <w:p w:rsidR="00425FF4" w:rsidRDefault="00425FF4" w:rsidP="00B212CE">
            <w:pPr>
              <w:jc w:val="center"/>
              <w:rPr>
                <w:lang w:val="es-ES" w:eastAsia="es-ES"/>
              </w:rPr>
            </w:pPr>
            <w:r>
              <w:rPr>
                <w:lang w:val="es-ES" w:eastAsia="es-ES"/>
              </w:rPr>
              <w:t>Presupuesto Inicial</w:t>
            </w:r>
          </w:p>
        </w:tc>
        <w:tc>
          <w:tcPr>
            <w:tcW w:w="2245" w:type="dxa"/>
          </w:tcPr>
          <w:p w:rsidR="00425FF4" w:rsidRDefault="00425FF4" w:rsidP="00B212CE">
            <w:pPr>
              <w:jc w:val="center"/>
              <w:rPr>
                <w:lang w:val="es-ES" w:eastAsia="es-ES"/>
              </w:rPr>
            </w:pPr>
            <w:r>
              <w:rPr>
                <w:lang w:val="es-ES" w:eastAsia="es-ES"/>
              </w:rPr>
              <w:t>Adiciones</w:t>
            </w:r>
          </w:p>
        </w:tc>
        <w:tc>
          <w:tcPr>
            <w:tcW w:w="2245" w:type="dxa"/>
          </w:tcPr>
          <w:p w:rsidR="00425FF4" w:rsidRDefault="00425FF4" w:rsidP="00B212CE">
            <w:pPr>
              <w:jc w:val="center"/>
              <w:rPr>
                <w:lang w:val="es-ES" w:eastAsia="es-ES"/>
              </w:rPr>
            </w:pPr>
            <w:r>
              <w:rPr>
                <w:lang w:val="es-ES" w:eastAsia="es-ES"/>
              </w:rPr>
              <w:t>Presupuesto Definitivo</w:t>
            </w:r>
          </w:p>
        </w:tc>
        <w:tc>
          <w:tcPr>
            <w:tcW w:w="2245" w:type="dxa"/>
          </w:tcPr>
          <w:p w:rsidR="00425FF4" w:rsidRDefault="00425FF4" w:rsidP="00B212CE">
            <w:pPr>
              <w:jc w:val="center"/>
              <w:rPr>
                <w:lang w:val="es-ES" w:eastAsia="es-ES"/>
              </w:rPr>
            </w:pPr>
            <w:r>
              <w:rPr>
                <w:lang w:val="es-ES" w:eastAsia="es-ES"/>
              </w:rPr>
              <w:t>Total Comprometido</w:t>
            </w:r>
          </w:p>
        </w:tc>
      </w:tr>
      <w:tr w:rsidR="00425FF4" w:rsidTr="00425FF4">
        <w:tc>
          <w:tcPr>
            <w:tcW w:w="2245" w:type="dxa"/>
          </w:tcPr>
          <w:p w:rsidR="00425FF4" w:rsidRDefault="00425FF4" w:rsidP="009A2DAC">
            <w:pPr>
              <w:jc w:val="right"/>
              <w:rPr>
                <w:lang w:val="es-ES" w:eastAsia="es-ES"/>
              </w:rPr>
            </w:pPr>
            <w:r>
              <w:rPr>
                <w:lang w:val="es-ES" w:eastAsia="es-ES"/>
              </w:rPr>
              <w:t>$9</w:t>
            </w:r>
            <w:r w:rsidR="009A2DAC">
              <w:rPr>
                <w:lang w:val="es-ES" w:eastAsia="es-ES"/>
              </w:rPr>
              <w:t>7.020.000</w:t>
            </w:r>
          </w:p>
        </w:tc>
        <w:tc>
          <w:tcPr>
            <w:tcW w:w="2245" w:type="dxa"/>
          </w:tcPr>
          <w:p w:rsidR="00425FF4" w:rsidRDefault="009A2DAC" w:rsidP="00425FF4">
            <w:pPr>
              <w:jc w:val="right"/>
              <w:rPr>
                <w:lang w:val="es-ES" w:eastAsia="es-ES"/>
              </w:rPr>
            </w:pPr>
            <w:r>
              <w:rPr>
                <w:lang w:val="es-ES" w:eastAsia="es-ES"/>
              </w:rPr>
              <w:t>0</w:t>
            </w:r>
          </w:p>
        </w:tc>
        <w:tc>
          <w:tcPr>
            <w:tcW w:w="2245" w:type="dxa"/>
          </w:tcPr>
          <w:p w:rsidR="00425FF4" w:rsidRDefault="009A2DAC" w:rsidP="00425FF4">
            <w:pPr>
              <w:jc w:val="right"/>
              <w:rPr>
                <w:lang w:val="es-ES" w:eastAsia="es-ES"/>
              </w:rPr>
            </w:pPr>
            <w:r>
              <w:rPr>
                <w:lang w:val="es-ES" w:eastAsia="es-ES"/>
              </w:rPr>
              <w:t>$97.020.000</w:t>
            </w:r>
          </w:p>
        </w:tc>
        <w:tc>
          <w:tcPr>
            <w:tcW w:w="2245" w:type="dxa"/>
          </w:tcPr>
          <w:p w:rsidR="009A2DAC" w:rsidRDefault="009A2DAC" w:rsidP="009A2DAC">
            <w:pPr>
              <w:jc w:val="right"/>
            </w:pPr>
            <w:r>
              <w:t xml:space="preserve">             $96,652,500 </w:t>
            </w:r>
          </w:p>
          <w:p w:rsidR="00425FF4" w:rsidRDefault="00425FF4" w:rsidP="00425FF4">
            <w:pPr>
              <w:jc w:val="right"/>
              <w:rPr>
                <w:lang w:val="es-ES" w:eastAsia="es-ES"/>
              </w:rPr>
            </w:pPr>
          </w:p>
        </w:tc>
      </w:tr>
    </w:tbl>
    <w:p w:rsidR="00B212CE" w:rsidRPr="00776215" w:rsidRDefault="00B212CE" w:rsidP="00B212CE">
      <w:pPr>
        <w:jc w:val="center"/>
        <w:rPr>
          <w:rFonts w:ascii="Tahoma" w:hAnsi="Tahoma" w:cs="Tahoma"/>
          <w:lang w:val="es-ES" w:eastAsia="es-ES"/>
        </w:rPr>
      </w:pPr>
    </w:p>
    <w:p w:rsidR="00B212CE" w:rsidRPr="00776215" w:rsidRDefault="00B212CE" w:rsidP="00B212CE">
      <w:pPr>
        <w:spacing w:before="0" w:after="0"/>
        <w:jc w:val="center"/>
        <w:rPr>
          <w:rFonts w:ascii="Tahoma" w:hAnsi="Tahoma" w:cs="Tahoma"/>
          <w:b/>
        </w:rPr>
      </w:pPr>
      <w:r w:rsidRPr="00776215">
        <w:rPr>
          <w:rFonts w:ascii="Tahoma" w:hAnsi="Tahoma" w:cs="Tahoma"/>
          <w:b/>
        </w:rPr>
        <w:t>CAPITULO 4</w:t>
      </w:r>
    </w:p>
    <w:p w:rsidR="008C7A2F" w:rsidRPr="00776215" w:rsidRDefault="008C7A2F" w:rsidP="00B212CE">
      <w:pPr>
        <w:spacing w:before="0" w:after="0"/>
        <w:jc w:val="center"/>
        <w:rPr>
          <w:rFonts w:ascii="Tahoma" w:hAnsi="Tahoma" w:cs="Tahoma"/>
          <w:b/>
        </w:rPr>
      </w:pPr>
      <w:r w:rsidRPr="00776215">
        <w:rPr>
          <w:rFonts w:ascii="Tahoma" w:hAnsi="Tahoma" w:cs="Tahoma"/>
          <w:b/>
        </w:rPr>
        <w:t>RESULTADO ANALISIS</w:t>
      </w:r>
    </w:p>
    <w:p w:rsidR="00776215" w:rsidRPr="00776215" w:rsidRDefault="00776215" w:rsidP="00B212CE">
      <w:pPr>
        <w:spacing w:before="0" w:after="0"/>
        <w:jc w:val="center"/>
        <w:rPr>
          <w:rFonts w:ascii="Tahoma" w:hAnsi="Tahoma" w:cs="Tahoma"/>
          <w:b/>
        </w:rPr>
      </w:pPr>
    </w:p>
    <w:p w:rsidR="00B212CE" w:rsidRPr="00776215" w:rsidRDefault="008C7A2F" w:rsidP="008C7A2F">
      <w:pPr>
        <w:rPr>
          <w:rFonts w:ascii="Tahoma" w:hAnsi="Tahoma" w:cs="Tahoma"/>
          <w:b/>
          <w:lang w:val="es-ES" w:eastAsia="es-ES"/>
        </w:rPr>
      </w:pPr>
      <w:r w:rsidRPr="00776215">
        <w:rPr>
          <w:rFonts w:ascii="Tahoma" w:hAnsi="Tahoma" w:cs="Tahoma"/>
          <w:b/>
          <w:lang w:val="es-ES" w:eastAsia="es-ES"/>
        </w:rPr>
        <w:t xml:space="preserve">4.1  </w:t>
      </w:r>
      <w:r w:rsidR="00B212CE" w:rsidRPr="00776215">
        <w:rPr>
          <w:rFonts w:ascii="Tahoma" w:hAnsi="Tahoma" w:cs="Tahoma"/>
          <w:b/>
          <w:lang w:val="es-ES" w:eastAsia="es-ES"/>
        </w:rPr>
        <w:t>RESULTADO DEL ANALISIS</w:t>
      </w:r>
      <w:r w:rsidRPr="00776215">
        <w:rPr>
          <w:rFonts w:ascii="Tahoma" w:hAnsi="Tahoma" w:cs="Tahoma"/>
          <w:b/>
          <w:lang w:val="es-ES" w:eastAsia="es-ES"/>
        </w:rPr>
        <w:t xml:space="preserve"> INDICADOR LEY 617 DE 2000</w:t>
      </w:r>
    </w:p>
    <w:p w:rsidR="00BD4C82" w:rsidRDefault="00B212CE" w:rsidP="00776215">
      <w:pPr>
        <w:jc w:val="both"/>
      </w:pPr>
      <w:r w:rsidRPr="00776215">
        <w:rPr>
          <w:rFonts w:ascii="Tahoma" w:hAnsi="Tahoma" w:cs="Tahoma"/>
        </w:rPr>
        <w:t xml:space="preserve">Como resultado de la evaluación realizada por La Contraloría </w:t>
      </w:r>
      <w:r w:rsidR="00F344D5" w:rsidRPr="00776215">
        <w:rPr>
          <w:rFonts w:ascii="Tahoma" w:hAnsi="Tahoma" w:cs="Tahoma"/>
        </w:rPr>
        <w:t>Departamental del Tolima</w:t>
      </w:r>
      <w:r w:rsidRPr="00776215">
        <w:rPr>
          <w:rFonts w:ascii="Tahoma" w:hAnsi="Tahoma" w:cs="Tahoma"/>
        </w:rPr>
        <w:t xml:space="preserve">, se estableció que el </w:t>
      </w:r>
      <w:r w:rsidR="00F344D5" w:rsidRPr="00776215">
        <w:rPr>
          <w:rFonts w:ascii="Tahoma" w:hAnsi="Tahoma" w:cs="Tahoma"/>
        </w:rPr>
        <w:t>M</w:t>
      </w:r>
      <w:r w:rsidRPr="00776215">
        <w:rPr>
          <w:rFonts w:ascii="Tahoma" w:hAnsi="Tahoma" w:cs="Tahoma"/>
        </w:rPr>
        <w:t xml:space="preserve">unicipio de </w:t>
      </w:r>
      <w:r w:rsidR="00CB2890">
        <w:rPr>
          <w:rFonts w:ascii="Tahoma" w:hAnsi="Tahoma" w:cs="Tahoma"/>
        </w:rPr>
        <w:t>Hond</w:t>
      </w:r>
      <w:r w:rsidR="00F344D5" w:rsidRPr="00776215">
        <w:rPr>
          <w:rFonts w:ascii="Tahoma" w:hAnsi="Tahoma" w:cs="Tahoma"/>
        </w:rPr>
        <w:t xml:space="preserve">a Tolima, </w:t>
      </w:r>
      <w:r w:rsidRPr="00776215">
        <w:rPr>
          <w:rFonts w:ascii="Tahoma" w:hAnsi="Tahoma" w:cs="Tahoma"/>
        </w:rPr>
        <w:t xml:space="preserve">ha venido cumpliendo con el indicador de ley 617 de 2000 </w:t>
      </w:r>
      <w:r w:rsidR="00D534DF" w:rsidRPr="00776215">
        <w:rPr>
          <w:rFonts w:ascii="Tahoma" w:hAnsi="Tahoma" w:cs="Tahoma"/>
        </w:rPr>
        <w:t>en las últimas dos vigencias</w:t>
      </w:r>
      <w:r w:rsidR="00CA6D9C" w:rsidRPr="00776215">
        <w:rPr>
          <w:rFonts w:ascii="Tahoma" w:hAnsi="Tahoma" w:cs="Tahoma"/>
        </w:rPr>
        <w:t xml:space="preserve"> y el indicador</w:t>
      </w:r>
      <w:r w:rsidR="00C020AF">
        <w:rPr>
          <w:rFonts w:ascii="Tahoma" w:hAnsi="Tahoma" w:cs="Tahoma"/>
        </w:rPr>
        <w:t xml:space="preserve"> de Gastos de Funcionamiento aumentó</w:t>
      </w:r>
      <w:r w:rsidR="00CA6D9C" w:rsidRPr="00776215">
        <w:rPr>
          <w:rFonts w:ascii="Tahoma" w:hAnsi="Tahoma" w:cs="Tahoma"/>
        </w:rPr>
        <w:t xml:space="preserve"> en un </w:t>
      </w:r>
      <w:r w:rsidR="00C020AF">
        <w:rPr>
          <w:rFonts w:ascii="Tahoma" w:hAnsi="Tahoma" w:cs="Tahoma"/>
        </w:rPr>
        <w:t>4</w:t>
      </w:r>
      <w:r w:rsidR="00CA6D9C" w:rsidRPr="00776215">
        <w:rPr>
          <w:rFonts w:ascii="Tahoma" w:hAnsi="Tahoma" w:cs="Tahoma"/>
        </w:rPr>
        <w:t>.</w:t>
      </w:r>
      <w:r w:rsidR="00C020AF">
        <w:rPr>
          <w:rFonts w:ascii="Tahoma" w:hAnsi="Tahoma" w:cs="Tahoma"/>
        </w:rPr>
        <w:t>89</w:t>
      </w:r>
      <w:r w:rsidR="00CA6D9C" w:rsidRPr="00776215">
        <w:rPr>
          <w:rFonts w:ascii="Tahoma" w:hAnsi="Tahoma" w:cs="Tahoma"/>
        </w:rPr>
        <w:t>% en relación a la vigencia 2014</w:t>
      </w:r>
      <w:r w:rsidR="00D534DF" w:rsidRPr="00776215">
        <w:rPr>
          <w:rFonts w:ascii="Tahoma" w:hAnsi="Tahoma" w:cs="Tahoma"/>
        </w:rPr>
        <w:t xml:space="preserve"> como se evidencia a continuación</w:t>
      </w:r>
      <w:r w:rsidR="00D534DF">
        <w:t>:</w:t>
      </w:r>
    </w:p>
    <w:p w:rsidR="00CA76CA" w:rsidRDefault="00CA76CA" w:rsidP="00776215">
      <w:pPr>
        <w:jc w:val="both"/>
      </w:pPr>
    </w:p>
    <w:tbl>
      <w:tblPr>
        <w:tblW w:w="6986" w:type="dxa"/>
        <w:jc w:val="center"/>
        <w:tblCellMar>
          <w:left w:w="70" w:type="dxa"/>
          <w:right w:w="70" w:type="dxa"/>
        </w:tblCellMar>
        <w:tblLook w:val="04A0" w:firstRow="1" w:lastRow="0" w:firstColumn="1" w:lastColumn="0" w:noHBand="0" w:noVBand="1"/>
      </w:tblPr>
      <w:tblGrid>
        <w:gridCol w:w="3609"/>
        <w:gridCol w:w="1622"/>
        <w:gridCol w:w="1755"/>
      </w:tblGrid>
      <w:tr w:rsidR="00FF4F90" w:rsidRPr="00FF4F90" w:rsidTr="00231ECA">
        <w:trPr>
          <w:trHeight w:val="264"/>
          <w:jc w:val="center"/>
        </w:trPr>
        <w:tc>
          <w:tcPr>
            <w:tcW w:w="698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jc w:val="center"/>
              <w:rPr>
                <w:rFonts w:eastAsia="Times New Roman"/>
                <w:b/>
                <w:bCs/>
                <w:color w:val="auto"/>
                <w:sz w:val="20"/>
                <w:szCs w:val="20"/>
              </w:rPr>
            </w:pPr>
            <w:r w:rsidRPr="00FF4F90">
              <w:rPr>
                <w:rFonts w:eastAsia="Times New Roman"/>
                <w:b/>
                <w:bCs/>
                <w:color w:val="auto"/>
                <w:sz w:val="20"/>
                <w:szCs w:val="20"/>
              </w:rPr>
              <w:t>EVALUACIÓN DE GASTOS DE FUNCIONAMIENTO</w:t>
            </w:r>
          </w:p>
        </w:tc>
      </w:tr>
      <w:tr w:rsidR="00FF4F90" w:rsidRPr="00FF4F90" w:rsidTr="00231ECA">
        <w:trPr>
          <w:trHeight w:val="264"/>
          <w:jc w:val="center"/>
        </w:trPr>
        <w:tc>
          <w:tcPr>
            <w:tcW w:w="698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jc w:val="center"/>
              <w:rPr>
                <w:rFonts w:eastAsia="Times New Roman"/>
                <w:color w:val="auto"/>
                <w:sz w:val="20"/>
                <w:szCs w:val="20"/>
              </w:rPr>
            </w:pPr>
            <w:r w:rsidRPr="00FF4F90">
              <w:rPr>
                <w:rFonts w:eastAsia="Times New Roman"/>
                <w:color w:val="auto"/>
                <w:sz w:val="20"/>
                <w:szCs w:val="20"/>
              </w:rPr>
              <w:t>ADMINISTRACIÓN CENTRAL</w:t>
            </w:r>
          </w:p>
        </w:tc>
      </w:tr>
      <w:tr w:rsidR="00FF4F90" w:rsidRPr="00FF4F90" w:rsidTr="00231ECA">
        <w:trPr>
          <w:trHeight w:val="264"/>
          <w:jc w:val="center"/>
        </w:trPr>
        <w:tc>
          <w:tcPr>
            <w:tcW w:w="698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4F90" w:rsidRPr="00FF4F90" w:rsidRDefault="00FF4F90" w:rsidP="00A37B6F">
            <w:pPr>
              <w:spacing w:before="0" w:after="0"/>
              <w:jc w:val="center"/>
              <w:rPr>
                <w:rFonts w:eastAsia="Times New Roman"/>
                <w:b/>
                <w:bCs/>
                <w:color w:val="auto"/>
                <w:sz w:val="20"/>
                <w:szCs w:val="20"/>
              </w:rPr>
            </w:pPr>
            <w:r w:rsidRPr="00FF4F90">
              <w:rPr>
                <w:rFonts w:eastAsia="Times New Roman"/>
                <w:b/>
                <w:bCs/>
                <w:color w:val="auto"/>
                <w:sz w:val="20"/>
                <w:szCs w:val="20"/>
              </w:rPr>
              <w:t xml:space="preserve">MUNICIPIO DE </w:t>
            </w:r>
            <w:r w:rsidR="00A37B6F">
              <w:rPr>
                <w:rFonts w:eastAsia="Times New Roman"/>
                <w:b/>
                <w:bCs/>
                <w:color w:val="auto"/>
                <w:sz w:val="20"/>
                <w:szCs w:val="20"/>
              </w:rPr>
              <w:t>HONDA</w:t>
            </w:r>
          </w:p>
        </w:tc>
      </w:tr>
      <w:tr w:rsidR="00FF4F90" w:rsidRPr="00FF4F90" w:rsidTr="00231ECA">
        <w:trPr>
          <w:trHeight w:val="264"/>
          <w:jc w:val="center"/>
        </w:trPr>
        <w:tc>
          <w:tcPr>
            <w:tcW w:w="3609" w:type="dxa"/>
            <w:tcBorders>
              <w:top w:val="nil"/>
              <w:left w:val="single" w:sz="4" w:space="0" w:color="auto"/>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rPr>
                <w:rFonts w:eastAsia="Times New Roman"/>
                <w:color w:val="auto"/>
                <w:sz w:val="20"/>
                <w:szCs w:val="20"/>
              </w:rPr>
            </w:pPr>
            <w:r w:rsidRPr="00FF4F90">
              <w:rPr>
                <w:rFonts w:eastAsia="Times New Roman"/>
                <w:color w:val="auto"/>
                <w:sz w:val="20"/>
                <w:szCs w:val="20"/>
              </w:rPr>
              <w:t> </w:t>
            </w:r>
          </w:p>
        </w:tc>
        <w:tc>
          <w:tcPr>
            <w:tcW w:w="1622"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rPr>
                <w:rFonts w:eastAsia="Times New Roman"/>
                <w:b/>
                <w:bCs/>
                <w:color w:val="auto"/>
                <w:sz w:val="18"/>
                <w:szCs w:val="18"/>
              </w:rPr>
            </w:pPr>
            <w:r w:rsidRPr="00FF4F90">
              <w:rPr>
                <w:rFonts w:eastAsia="Times New Roman"/>
                <w:b/>
                <w:bCs/>
                <w:color w:val="auto"/>
                <w:sz w:val="18"/>
                <w:szCs w:val="18"/>
              </w:rPr>
              <w:t xml:space="preserve"> VIGENCIA 2014 </w:t>
            </w:r>
          </w:p>
        </w:tc>
        <w:tc>
          <w:tcPr>
            <w:tcW w:w="1755"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rPr>
                <w:rFonts w:eastAsia="Times New Roman"/>
                <w:b/>
                <w:bCs/>
                <w:color w:val="auto"/>
                <w:sz w:val="18"/>
                <w:szCs w:val="18"/>
              </w:rPr>
            </w:pPr>
            <w:r w:rsidRPr="00FF4F90">
              <w:rPr>
                <w:rFonts w:eastAsia="Times New Roman"/>
                <w:b/>
                <w:bCs/>
                <w:color w:val="auto"/>
                <w:sz w:val="18"/>
                <w:szCs w:val="18"/>
              </w:rPr>
              <w:t xml:space="preserve"> VIGENCIA 2015 </w:t>
            </w:r>
          </w:p>
        </w:tc>
      </w:tr>
      <w:tr w:rsidR="00FF4F90" w:rsidRPr="00FF4F90" w:rsidTr="00231ECA">
        <w:trPr>
          <w:trHeight w:val="264"/>
          <w:jc w:val="center"/>
        </w:trPr>
        <w:tc>
          <w:tcPr>
            <w:tcW w:w="3609" w:type="dxa"/>
            <w:tcBorders>
              <w:top w:val="nil"/>
              <w:left w:val="single" w:sz="4" w:space="0" w:color="auto"/>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rPr>
                <w:rFonts w:eastAsia="Times New Roman"/>
                <w:color w:val="auto"/>
                <w:sz w:val="20"/>
                <w:szCs w:val="20"/>
              </w:rPr>
            </w:pPr>
            <w:r w:rsidRPr="00FF4F90">
              <w:rPr>
                <w:rFonts w:eastAsia="Times New Roman"/>
                <w:color w:val="auto"/>
                <w:sz w:val="20"/>
                <w:szCs w:val="20"/>
              </w:rPr>
              <w:t>DETALLE</w:t>
            </w:r>
          </w:p>
        </w:tc>
        <w:tc>
          <w:tcPr>
            <w:tcW w:w="1622"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jc w:val="center"/>
              <w:rPr>
                <w:rFonts w:eastAsia="Times New Roman"/>
                <w:color w:val="auto"/>
                <w:sz w:val="18"/>
                <w:szCs w:val="18"/>
              </w:rPr>
            </w:pPr>
            <w:r w:rsidRPr="00FF4F90">
              <w:rPr>
                <w:rFonts w:eastAsia="Times New Roman"/>
                <w:color w:val="auto"/>
                <w:sz w:val="18"/>
                <w:szCs w:val="18"/>
              </w:rPr>
              <w:t xml:space="preserve"> VALOR </w:t>
            </w:r>
          </w:p>
        </w:tc>
        <w:tc>
          <w:tcPr>
            <w:tcW w:w="1755"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jc w:val="center"/>
              <w:rPr>
                <w:rFonts w:eastAsia="Times New Roman"/>
                <w:color w:val="auto"/>
                <w:sz w:val="18"/>
                <w:szCs w:val="18"/>
              </w:rPr>
            </w:pPr>
            <w:r w:rsidRPr="00FF4F90">
              <w:rPr>
                <w:rFonts w:eastAsia="Times New Roman"/>
                <w:color w:val="auto"/>
                <w:sz w:val="18"/>
                <w:szCs w:val="18"/>
              </w:rPr>
              <w:t xml:space="preserve"> VALOR </w:t>
            </w:r>
          </w:p>
        </w:tc>
      </w:tr>
      <w:tr w:rsidR="00FF4F90" w:rsidRPr="00FF4F90" w:rsidTr="00231ECA">
        <w:trPr>
          <w:trHeight w:val="264"/>
          <w:jc w:val="center"/>
        </w:trPr>
        <w:tc>
          <w:tcPr>
            <w:tcW w:w="3609" w:type="dxa"/>
            <w:tcBorders>
              <w:top w:val="nil"/>
              <w:left w:val="single" w:sz="4" w:space="0" w:color="auto"/>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rPr>
                <w:rFonts w:eastAsia="Times New Roman"/>
                <w:color w:val="auto"/>
                <w:sz w:val="20"/>
                <w:szCs w:val="20"/>
              </w:rPr>
            </w:pPr>
            <w:r w:rsidRPr="00FF4F90">
              <w:rPr>
                <w:rFonts w:eastAsia="Times New Roman"/>
                <w:color w:val="auto"/>
                <w:sz w:val="20"/>
                <w:szCs w:val="20"/>
              </w:rPr>
              <w:t>ICLD</w:t>
            </w:r>
          </w:p>
        </w:tc>
        <w:tc>
          <w:tcPr>
            <w:tcW w:w="1622"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C020AF">
            <w:pPr>
              <w:spacing w:before="0" w:after="0"/>
              <w:jc w:val="right"/>
              <w:rPr>
                <w:rFonts w:eastAsia="Times New Roman"/>
                <w:color w:val="auto"/>
                <w:sz w:val="20"/>
                <w:szCs w:val="20"/>
              </w:rPr>
            </w:pPr>
            <w:r w:rsidRPr="00FF4F90">
              <w:rPr>
                <w:rFonts w:eastAsia="Times New Roman"/>
                <w:color w:val="auto"/>
                <w:sz w:val="20"/>
                <w:szCs w:val="20"/>
              </w:rPr>
              <w:t xml:space="preserve">       </w:t>
            </w:r>
            <w:r w:rsidR="00E55115">
              <w:rPr>
                <w:rFonts w:eastAsia="Times New Roman"/>
                <w:color w:val="auto"/>
                <w:sz w:val="20"/>
                <w:szCs w:val="20"/>
              </w:rPr>
              <w:t>$</w:t>
            </w:r>
            <w:r w:rsidRPr="00FF4F90">
              <w:rPr>
                <w:rFonts w:eastAsia="Times New Roman"/>
                <w:color w:val="auto"/>
                <w:sz w:val="20"/>
                <w:szCs w:val="20"/>
              </w:rPr>
              <w:t>4</w:t>
            </w:r>
            <w:r w:rsidR="00C020AF">
              <w:rPr>
                <w:rFonts w:eastAsia="Times New Roman"/>
                <w:color w:val="auto"/>
                <w:sz w:val="20"/>
                <w:szCs w:val="20"/>
              </w:rPr>
              <w:t>.040.219</w:t>
            </w:r>
            <w:r w:rsidRPr="00FF4F90">
              <w:rPr>
                <w:rFonts w:eastAsia="Times New Roman"/>
                <w:color w:val="auto"/>
                <w:sz w:val="20"/>
                <w:szCs w:val="20"/>
              </w:rPr>
              <w:t xml:space="preserve"> </w:t>
            </w:r>
          </w:p>
        </w:tc>
        <w:tc>
          <w:tcPr>
            <w:tcW w:w="1755"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A022B9">
            <w:pPr>
              <w:spacing w:before="0" w:after="0"/>
              <w:jc w:val="right"/>
              <w:rPr>
                <w:rFonts w:eastAsia="Times New Roman"/>
                <w:color w:val="auto"/>
                <w:sz w:val="18"/>
                <w:szCs w:val="18"/>
              </w:rPr>
            </w:pPr>
            <w:r w:rsidRPr="00FF4F90">
              <w:rPr>
                <w:rFonts w:eastAsia="Times New Roman"/>
                <w:color w:val="auto"/>
                <w:sz w:val="18"/>
                <w:szCs w:val="18"/>
              </w:rPr>
              <w:t xml:space="preserve">              </w:t>
            </w:r>
            <w:r w:rsidR="00E55115">
              <w:rPr>
                <w:rFonts w:eastAsia="Times New Roman"/>
                <w:color w:val="auto"/>
                <w:sz w:val="18"/>
                <w:szCs w:val="18"/>
              </w:rPr>
              <w:t>$</w:t>
            </w:r>
            <w:r w:rsidR="00A022B9">
              <w:rPr>
                <w:rFonts w:eastAsia="Times New Roman"/>
                <w:color w:val="auto"/>
                <w:sz w:val="18"/>
                <w:szCs w:val="18"/>
              </w:rPr>
              <w:t>4.372.286</w:t>
            </w:r>
            <w:r w:rsidRPr="00FF4F90">
              <w:rPr>
                <w:rFonts w:eastAsia="Times New Roman"/>
                <w:color w:val="auto"/>
                <w:sz w:val="18"/>
                <w:szCs w:val="18"/>
              </w:rPr>
              <w:t xml:space="preserve"> </w:t>
            </w:r>
          </w:p>
        </w:tc>
      </w:tr>
      <w:tr w:rsidR="00FF4F90" w:rsidRPr="00FF4F90" w:rsidTr="00231ECA">
        <w:trPr>
          <w:trHeight w:val="528"/>
          <w:jc w:val="center"/>
        </w:trPr>
        <w:tc>
          <w:tcPr>
            <w:tcW w:w="3609" w:type="dxa"/>
            <w:tcBorders>
              <w:top w:val="nil"/>
              <w:left w:val="single" w:sz="4" w:space="0" w:color="auto"/>
              <w:bottom w:val="single" w:sz="4" w:space="0" w:color="auto"/>
              <w:right w:val="single" w:sz="4" w:space="0" w:color="auto"/>
            </w:tcBorders>
            <w:shd w:val="clear" w:color="auto" w:fill="auto"/>
            <w:vAlign w:val="bottom"/>
            <w:hideMark/>
          </w:tcPr>
          <w:p w:rsidR="00FF4F90" w:rsidRPr="00FF4F90" w:rsidRDefault="00FF4F90" w:rsidP="00FF4F90">
            <w:pPr>
              <w:spacing w:before="0" w:after="0"/>
              <w:rPr>
                <w:rFonts w:eastAsia="Times New Roman"/>
                <w:color w:val="auto"/>
                <w:sz w:val="20"/>
                <w:szCs w:val="20"/>
              </w:rPr>
            </w:pPr>
            <w:r w:rsidRPr="00FF4F90">
              <w:rPr>
                <w:rFonts w:eastAsia="Times New Roman"/>
                <w:color w:val="auto"/>
                <w:sz w:val="20"/>
                <w:szCs w:val="20"/>
              </w:rPr>
              <w:t xml:space="preserve">GASTOS DE FUNCIONAMIENTO </w:t>
            </w:r>
            <w:r w:rsidRPr="00FF4F90">
              <w:rPr>
                <w:rFonts w:eastAsia="Times New Roman"/>
                <w:color w:val="auto"/>
                <w:sz w:val="20"/>
                <w:szCs w:val="20"/>
              </w:rPr>
              <w:br/>
              <w:t>BASE PARA EL INDICADOR</w:t>
            </w:r>
          </w:p>
        </w:tc>
        <w:tc>
          <w:tcPr>
            <w:tcW w:w="1622" w:type="dxa"/>
            <w:tcBorders>
              <w:top w:val="nil"/>
              <w:left w:val="nil"/>
              <w:bottom w:val="single" w:sz="4" w:space="0" w:color="auto"/>
              <w:right w:val="single" w:sz="4" w:space="0" w:color="auto"/>
            </w:tcBorders>
            <w:shd w:val="clear" w:color="auto" w:fill="auto"/>
            <w:noWrap/>
            <w:vAlign w:val="bottom"/>
            <w:hideMark/>
          </w:tcPr>
          <w:p w:rsidR="00FF4F90" w:rsidRPr="00FF4F90" w:rsidRDefault="00E55115" w:rsidP="00C020AF">
            <w:pPr>
              <w:spacing w:before="0" w:after="0"/>
              <w:jc w:val="right"/>
              <w:rPr>
                <w:rFonts w:eastAsia="Times New Roman"/>
                <w:color w:val="auto"/>
                <w:sz w:val="20"/>
                <w:szCs w:val="20"/>
              </w:rPr>
            </w:pPr>
            <w:r>
              <w:rPr>
                <w:rFonts w:eastAsia="Times New Roman"/>
                <w:color w:val="auto"/>
                <w:sz w:val="20"/>
                <w:szCs w:val="20"/>
              </w:rPr>
              <w:t xml:space="preserve">     $</w:t>
            </w:r>
            <w:r w:rsidR="00FF4F90" w:rsidRPr="00FF4F90">
              <w:rPr>
                <w:rFonts w:eastAsia="Times New Roman"/>
                <w:color w:val="auto"/>
                <w:sz w:val="20"/>
                <w:szCs w:val="20"/>
              </w:rPr>
              <w:t>2</w:t>
            </w:r>
            <w:r w:rsidR="00C020AF">
              <w:rPr>
                <w:rFonts w:eastAsia="Times New Roman"/>
                <w:color w:val="auto"/>
                <w:sz w:val="20"/>
                <w:szCs w:val="20"/>
              </w:rPr>
              <w:t>.213.415</w:t>
            </w:r>
            <w:r w:rsidR="00FF4F90" w:rsidRPr="00FF4F90">
              <w:rPr>
                <w:rFonts w:eastAsia="Times New Roman"/>
                <w:color w:val="auto"/>
                <w:sz w:val="20"/>
                <w:szCs w:val="20"/>
              </w:rPr>
              <w:t xml:space="preserve"> </w:t>
            </w:r>
          </w:p>
        </w:tc>
        <w:tc>
          <w:tcPr>
            <w:tcW w:w="1755"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E55115">
            <w:pPr>
              <w:spacing w:before="0" w:after="0"/>
              <w:jc w:val="right"/>
              <w:rPr>
                <w:rFonts w:eastAsia="Times New Roman"/>
                <w:color w:val="auto"/>
                <w:sz w:val="18"/>
                <w:szCs w:val="18"/>
              </w:rPr>
            </w:pPr>
            <w:r w:rsidRPr="00FF4F90">
              <w:rPr>
                <w:rFonts w:eastAsia="Times New Roman"/>
                <w:color w:val="auto"/>
                <w:sz w:val="18"/>
                <w:szCs w:val="18"/>
              </w:rPr>
              <w:t xml:space="preserve">              </w:t>
            </w:r>
            <w:r w:rsidR="00E55115">
              <w:rPr>
                <w:rFonts w:eastAsia="Times New Roman"/>
                <w:color w:val="auto"/>
                <w:sz w:val="18"/>
                <w:szCs w:val="18"/>
              </w:rPr>
              <w:t>$</w:t>
            </w:r>
            <w:r w:rsidR="00C020AF">
              <w:rPr>
                <w:rFonts w:eastAsia="Times New Roman"/>
                <w:color w:val="auto"/>
                <w:sz w:val="18"/>
                <w:szCs w:val="18"/>
              </w:rPr>
              <w:t>2.608.727</w:t>
            </w:r>
            <w:r w:rsidRPr="00FF4F90">
              <w:rPr>
                <w:rFonts w:eastAsia="Times New Roman"/>
                <w:color w:val="auto"/>
                <w:sz w:val="18"/>
                <w:szCs w:val="18"/>
              </w:rPr>
              <w:t xml:space="preserve"> </w:t>
            </w:r>
          </w:p>
        </w:tc>
      </w:tr>
      <w:tr w:rsidR="00FF4F90" w:rsidRPr="00FF4F90" w:rsidTr="00231ECA">
        <w:trPr>
          <w:trHeight w:val="264"/>
          <w:jc w:val="center"/>
        </w:trPr>
        <w:tc>
          <w:tcPr>
            <w:tcW w:w="3609" w:type="dxa"/>
            <w:tcBorders>
              <w:top w:val="nil"/>
              <w:left w:val="single" w:sz="4" w:space="0" w:color="auto"/>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rPr>
                <w:rFonts w:eastAsia="Times New Roman"/>
                <w:color w:val="auto"/>
                <w:sz w:val="20"/>
                <w:szCs w:val="20"/>
              </w:rPr>
            </w:pPr>
            <w:r w:rsidRPr="00FF4F90">
              <w:rPr>
                <w:rFonts w:eastAsia="Times New Roman"/>
                <w:color w:val="auto"/>
                <w:sz w:val="20"/>
                <w:szCs w:val="20"/>
              </w:rPr>
              <w:t>LÍMITE DE GASTOS % GF/ICLD</w:t>
            </w:r>
          </w:p>
        </w:tc>
        <w:tc>
          <w:tcPr>
            <w:tcW w:w="1622"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E55115">
            <w:pPr>
              <w:spacing w:before="0" w:after="0"/>
              <w:jc w:val="right"/>
              <w:rPr>
                <w:rFonts w:eastAsia="Times New Roman"/>
                <w:color w:val="auto"/>
                <w:sz w:val="20"/>
                <w:szCs w:val="20"/>
              </w:rPr>
            </w:pPr>
            <w:r w:rsidRPr="00FF4F90">
              <w:rPr>
                <w:rFonts w:eastAsia="Times New Roman"/>
                <w:color w:val="auto"/>
                <w:sz w:val="20"/>
                <w:szCs w:val="20"/>
              </w:rPr>
              <w:t>80.00%</w:t>
            </w:r>
          </w:p>
        </w:tc>
        <w:tc>
          <w:tcPr>
            <w:tcW w:w="1755"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E55115">
            <w:pPr>
              <w:spacing w:before="0" w:after="0"/>
              <w:jc w:val="right"/>
              <w:rPr>
                <w:rFonts w:eastAsia="Times New Roman"/>
                <w:color w:val="auto"/>
                <w:sz w:val="18"/>
                <w:szCs w:val="18"/>
              </w:rPr>
            </w:pPr>
            <w:r w:rsidRPr="00FF4F90">
              <w:rPr>
                <w:rFonts w:eastAsia="Times New Roman"/>
                <w:color w:val="auto"/>
                <w:sz w:val="18"/>
                <w:szCs w:val="18"/>
              </w:rPr>
              <w:t xml:space="preserve">                 80,00% </w:t>
            </w:r>
          </w:p>
        </w:tc>
      </w:tr>
      <w:tr w:rsidR="00FF4F90" w:rsidRPr="00FF4F90" w:rsidTr="00231ECA">
        <w:trPr>
          <w:trHeight w:val="264"/>
          <w:jc w:val="center"/>
        </w:trPr>
        <w:tc>
          <w:tcPr>
            <w:tcW w:w="3609" w:type="dxa"/>
            <w:tcBorders>
              <w:top w:val="nil"/>
              <w:left w:val="single" w:sz="4" w:space="0" w:color="auto"/>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rPr>
                <w:rFonts w:eastAsia="Times New Roman"/>
                <w:b/>
                <w:color w:val="auto"/>
                <w:sz w:val="20"/>
                <w:szCs w:val="20"/>
              </w:rPr>
            </w:pPr>
            <w:r w:rsidRPr="00FF4F90">
              <w:rPr>
                <w:rFonts w:eastAsia="Times New Roman"/>
                <w:b/>
                <w:color w:val="auto"/>
                <w:sz w:val="20"/>
                <w:szCs w:val="20"/>
              </w:rPr>
              <w:t>INDICADOR DE GF/ICLD</w:t>
            </w:r>
          </w:p>
        </w:tc>
        <w:tc>
          <w:tcPr>
            <w:tcW w:w="1622" w:type="dxa"/>
            <w:tcBorders>
              <w:top w:val="nil"/>
              <w:left w:val="nil"/>
              <w:bottom w:val="single" w:sz="4" w:space="0" w:color="auto"/>
              <w:right w:val="single" w:sz="4" w:space="0" w:color="auto"/>
            </w:tcBorders>
            <w:shd w:val="clear" w:color="auto" w:fill="auto"/>
            <w:noWrap/>
            <w:vAlign w:val="bottom"/>
            <w:hideMark/>
          </w:tcPr>
          <w:p w:rsidR="00FF4F90" w:rsidRPr="00FF4F90" w:rsidRDefault="00C020AF" w:rsidP="00E55115">
            <w:pPr>
              <w:spacing w:before="0" w:after="0"/>
              <w:jc w:val="right"/>
              <w:rPr>
                <w:rFonts w:eastAsia="Times New Roman"/>
                <w:b/>
                <w:color w:val="auto"/>
                <w:sz w:val="20"/>
                <w:szCs w:val="20"/>
              </w:rPr>
            </w:pPr>
            <w:r>
              <w:rPr>
                <w:rFonts w:eastAsia="Times New Roman"/>
                <w:b/>
                <w:color w:val="auto"/>
                <w:sz w:val="20"/>
                <w:szCs w:val="20"/>
              </w:rPr>
              <w:t>54.78</w:t>
            </w:r>
            <w:r w:rsidR="00FF4F90" w:rsidRPr="00FF4F90">
              <w:rPr>
                <w:rFonts w:eastAsia="Times New Roman"/>
                <w:b/>
                <w:color w:val="auto"/>
                <w:sz w:val="20"/>
                <w:szCs w:val="20"/>
              </w:rPr>
              <w:t>%</w:t>
            </w:r>
          </w:p>
        </w:tc>
        <w:tc>
          <w:tcPr>
            <w:tcW w:w="1755"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C020AF">
            <w:pPr>
              <w:spacing w:before="0" w:after="0"/>
              <w:jc w:val="right"/>
              <w:rPr>
                <w:rFonts w:eastAsia="Times New Roman"/>
                <w:b/>
                <w:color w:val="auto"/>
                <w:sz w:val="18"/>
                <w:szCs w:val="18"/>
              </w:rPr>
            </w:pPr>
            <w:r w:rsidRPr="00FF4F90">
              <w:rPr>
                <w:rFonts w:eastAsia="Times New Roman"/>
                <w:b/>
                <w:color w:val="auto"/>
                <w:sz w:val="18"/>
                <w:szCs w:val="18"/>
              </w:rPr>
              <w:t xml:space="preserve">                 5</w:t>
            </w:r>
            <w:r w:rsidR="00C020AF">
              <w:rPr>
                <w:rFonts w:eastAsia="Times New Roman"/>
                <w:b/>
                <w:color w:val="auto"/>
                <w:sz w:val="18"/>
                <w:szCs w:val="18"/>
              </w:rPr>
              <w:t>9.67</w:t>
            </w:r>
            <w:r w:rsidRPr="00FF4F90">
              <w:rPr>
                <w:rFonts w:eastAsia="Times New Roman"/>
                <w:b/>
                <w:color w:val="auto"/>
                <w:sz w:val="18"/>
                <w:szCs w:val="18"/>
              </w:rPr>
              <w:t xml:space="preserve">% </w:t>
            </w:r>
          </w:p>
        </w:tc>
      </w:tr>
      <w:tr w:rsidR="00FF4F90" w:rsidRPr="00FF4F90" w:rsidTr="00231ECA">
        <w:trPr>
          <w:trHeight w:val="264"/>
          <w:jc w:val="center"/>
        </w:trPr>
        <w:tc>
          <w:tcPr>
            <w:tcW w:w="3609" w:type="dxa"/>
            <w:tcBorders>
              <w:top w:val="nil"/>
              <w:left w:val="single" w:sz="4" w:space="0" w:color="auto"/>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rPr>
                <w:rFonts w:eastAsia="Times New Roman"/>
                <w:color w:val="auto"/>
                <w:sz w:val="20"/>
                <w:szCs w:val="20"/>
              </w:rPr>
            </w:pPr>
            <w:r w:rsidRPr="00FF4F90">
              <w:rPr>
                <w:rFonts w:eastAsia="Times New Roman"/>
                <w:color w:val="auto"/>
                <w:sz w:val="20"/>
                <w:szCs w:val="20"/>
              </w:rPr>
              <w:t>ESTADO DEL INDICADOR</w:t>
            </w:r>
          </w:p>
        </w:tc>
        <w:tc>
          <w:tcPr>
            <w:tcW w:w="1622"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901C37">
            <w:pPr>
              <w:spacing w:before="0" w:after="0"/>
              <w:jc w:val="right"/>
              <w:rPr>
                <w:rFonts w:eastAsia="Times New Roman"/>
                <w:b/>
                <w:bCs/>
                <w:color w:val="auto"/>
                <w:sz w:val="18"/>
                <w:szCs w:val="18"/>
              </w:rPr>
            </w:pPr>
            <w:r w:rsidRPr="00FF4F90">
              <w:rPr>
                <w:rFonts w:eastAsia="Times New Roman"/>
                <w:b/>
                <w:bCs/>
                <w:color w:val="auto"/>
                <w:sz w:val="18"/>
                <w:szCs w:val="18"/>
              </w:rPr>
              <w:t xml:space="preserve"> CUMPLE </w:t>
            </w:r>
          </w:p>
        </w:tc>
        <w:tc>
          <w:tcPr>
            <w:tcW w:w="1755"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901C37">
            <w:pPr>
              <w:spacing w:before="0" w:after="0"/>
              <w:jc w:val="right"/>
              <w:rPr>
                <w:rFonts w:eastAsia="Times New Roman"/>
                <w:b/>
                <w:bCs/>
                <w:color w:val="auto"/>
                <w:sz w:val="18"/>
                <w:szCs w:val="18"/>
              </w:rPr>
            </w:pPr>
            <w:r w:rsidRPr="00FF4F90">
              <w:rPr>
                <w:rFonts w:eastAsia="Times New Roman"/>
                <w:b/>
                <w:bCs/>
                <w:color w:val="auto"/>
                <w:sz w:val="18"/>
                <w:szCs w:val="18"/>
              </w:rPr>
              <w:t xml:space="preserve"> CUMPLE </w:t>
            </w:r>
          </w:p>
        </w:tc>
      </w:tr>
    </w:tbl>
    <w:p w:rsidR="008C7A2F" w:rsidRDefault="008C7A2F" w:rsidP="00B212CE"/>
    <w:p w:rsidR="00477304" w:rsidRPr="00CA76CA" w:rsidRDefault="008C7A2F" w:rsidP="00B212CE">
      <w:pPr>
        <w:rPr>
          <w:rFonts w:ascii="Tahoma" w:hAnsi="Tahoma" w:cs="Tahoma"/>
          <w:b/>
        </w:rPr>
      </w:pPr>
      <w:r w:rsidRPr="00CA76CA">
        <w:rPr>
          <w:rFonts w:ascii="Tahoma" w:hAnsi="Tahoma" w:cs="Tahoma"/>
          <w:b/>
        </w:rPr>
        <w:t>4.2 RESULTADO ANALISIS PRESUPUESTAL</w:t>
      </w:r>
    </w:p>
    <w:p w:rsidR="008C7A2F" w:rsidRPr="00CA76CA" w:rsidRDefault="008C7A2F" w:rsidP="00B212CE">
      <w:pPr>
        <w:rPr>
          <w:rFonts w:ascii="Tahoma" w:hAnsi="Tahoma" w:cs="Tahoma"/>
        </w:rPr>
      </w:pPr>
    </w:p>
    <w:p w:rsidR="008C7A2F" w:rsidRPr="00CA76CA" w:rsidRDefault="008C7A2F" w:rsidP="00776215">
      <w:pPr>
        <w:jc w:val="both"/>
        <w:rPr>
          <w:rFonts w:ascii="Tahoma" w:hAnsi="Tahoma" w:cs="Tahoma"/>
        </w:rPr>
      </w:pPr>
      <w:r w:rsidRPr="00CA76CA">
        <w:rPr>
          <w:rFonts w:ascii="Tahoma" w:hAnsi="Tahoma" w:cs="Tahoma"/>
        </w:rPr>
        <w:t xml:space="preserve">Una vez analizada la información presupuestal del municipio de </w:t>
      </w:r>
      <w:r w:rsidR="00F46E6A">
        <w:rPr>
          <w:rFonts w:ascii="Tahoma" w:hAnsi="Tahoma" w:cs="Tahoma"/>
        </w:rPr>
        <w:t>Honda</w:t>
      </w:r>
      <w:r w:rsidRPr="00CA76CA">
        <w:rPr>
          <w:rFonts w:ascii="Tahoma" w:hAnsi="Tahoma" w:cs="Tahoma"/>
        </w:rPr>
        <w:t xml:space="preserve"> Tolima</w:t>
      </w:r>
      <w:r w:rsidR="004F7914" w:rsidRPr="00CA76CA">
        <w:rPr>
          <w:rFonts w:ascii="Tahoma" w:hAnsi="Tahoma" w:cs="Tahoma"/>
        </w:rPr>
        <w:t xml:space="preserve"> a Diciembre 31 de 2015, </w:t>
      </w:r>
      <w:r w:rsidRPr="00CA76CA">
        <w:rPr>
          <w:rFonts w:ascii="Tahoma" w:hAnsi="Tahoma" w:cs="Tahoma"/>
        </w:rPr>
        <w:t xml:space="preserve">se </w:t>
      </w:r>
      <w:r w:rsidR="004F7914" w:rsidRPr="00CA76CA">
        <w:rPr>
          <w:rFonts w:ascii="Tahoma" w:hAnsi="Tahoma" w:cs="Tahoma"/>
        </w:rPr>
        <w:t xml:space="preserve">evidenció que el ente Territorial, presentó </w:t>
      </w:r>
      <w:r w:rsidR="00F46E6A" w:rsidRPr="00CA76CA">
        <w:rPr>
          <w:rFonts w:ascii="Tahoma" w:hAnsi="Tahoma" w:cs="Tahoma"/>
        </w:rPr>
        <w:t>Déficit</w:t>
      </w:r>
      <w:r w:rsidR="004F7914" w:rsidRPr="00CA76CA">
        <w:rPr>
          <w:rFonts w:ascii="Tahoma" w:hAnsi="Tahoma" w:cs="Tahoma"/>
        </w:rPr>
        <w:t xml:space="preserve"> presupuestal en la suma de $</w:t>
      </w:r>
      <w:r w:rsidR="00F46E6A">
        <w:rPr>
          <w:rFonts w:ascii="Tahoma" w:hAnsi="Tahoma" w:cs="Tahoma"/>
        </w:rPr>
        <w:t>51.251.201</w:t>
      </w:r>
      <w:r w:rsidR="004F7914" w:rsidRPr="00CA76CA">
        <w:rPr>
          <w:rFonts w:ascii="Tahoma" w:hAnsi="Tahoma" w:cs="Tahoma"/>
        </w:rPr>
        <w:t>.oo, toda vez que el Total de los Gastos comprometidos,  fueron mayores a los ingresos efectivamente recaudados.  Ver Tabla.</w:t>
      </w:r>
    </w:p>
    <w:p w:rsidR="008C7A2F" w:rsidRDefault="008C7A2F" w:rsidP="00B212CE"/>
    <w:tbl>
      <w:tblPr>
        <w:tblW w:w="6840" w:type="dxa"/>
        <w:jc w:val="center"/>
        <w:tblCellMar>
          <w:left w:w="70" w:type="dxa"/>
          <w:right w:w="70" w:type="dxa"/>
        </w:tblCellMar>
        <w:tblLook w:val="04A0" w:firstRow="1" w:lastRow="0" w:firstColumn="1" w:lastColumn="0" w:noHBand="0" w:noVBand="1"/>
      </w:tblPr>
      <w:tblGrid>
        <w:gridCol w:w="2480"/>
        <w:gridCol w:w="2200"/>
        <w:gridCol w:w="2160"/>
      </w:tblGrid>
      <w:tr w:rsidR="00F46E6A" w:rsidRPr="00F46E6A" w:rsidTr="00F46E6A">
        <w:trPr>
          <w:trHeight w:val="792"/>
          <w:jc w:val="center"/>
        </w:trPr>
        <w:tc>
          <w:tcPr>
            <w:tcW w:w="24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6E6A" w:rsidRPr="00F46E6A" w:rsidRDefault="00F46E6A" w:rsidP="00F46E6A">
            <w:pPr>
              <w:spacing w:before="0" w:after="0"/>
              <w:jc w:val="center"/>
              <w:rPr>
                <w:rFonts w:ascii="Tahoma" w:eastAsia="Times New Roman" w:hAnsi="Tahoma" w:cs="Tahoma"/>
                <w:color w:val="auto"/>
                <w:sz w:val="20"/>
                <w:szCs w:val="20"/>
              </w:rPr>
            </w:pPr>
            <w:r w:rsidRPr="00F46E6A">
              <w:rPr>
                <w:rFonts w:ascii="Tahoma" w:eastAsia="Times New Roman" w:hAnsi="Tahoma" w:cs="Tahoma"/>
                <w:color w:val="auto"/>
                <w:sz w:val="20"/>
                <w:szCs w:val="20"/>
              </w:rPr>
              <w:t xml:space="preserve">  INGRESOS</w:t>
            </w:r>
            <w:r w:rsidRPr="00F46E6A">
              <w:rPr>
                <w:rFonts w:ascii="Tahoma" w:eastAsia="Times New Roman" w:hAnsi="Tahoma" w:cs="Tahoma"/>
                <w:color w:val="auto"/>
                <w:sz w:val="20"/>
                <w:szCs w:val="20"/>
              </w:rPr>
              <w:br/>
              <w:t xml:space="preserve">EFECTIVAMENTE RECAUDADOS </w:t>
            </w:r>
          </w:p>
        </w:tc>
        <w:tc>
          <w:tcPr>
            <w:tcW w:w="2200" w:type="dxa"/>
            <w:tcBorders>
              <w:top w:val="single" w:sz="4" w:space="0" w:color="auto"/>
              <w:left w:val="nil"/>
              <w:bottom w:val="single" w:sz="4" w:space="0" w:color="auto"/>
              <w:right w:val="single" w:sz="4" w:space="0" w:color="auto"/>
            </w:tcBorders>
            <w:shd w:val="clear" w:color="auto" w:fill="auto"/>
            <w:vAlign w:val="bottom"/>
            <w:hideMark/>
          </w:tcPr>
          <w:p w:rsidR="00F46E6A" w:rsidRPr="00F46E6A" w:rsidRDefault="00F46E6A" w:rsidP="00F46E6A">
            <w:pPr>
              <w:spacing w:before="0" w:after="0"/>
              <w:jc w:val="center"/>
              <w:rPr>
                <w:rFonts w:ascii="Tahoma" w:eastAsia="Times New Roman" w:hAnsi="Tahoma" w:cs="Tahoma"/>
                <w:color w:val="auto"/>
                <w:sz w:val="20"/>
                <w:szCs w:val="20"/>
              </w:rPr>
            </w:pPr>
            <w:r w:rsidRPr="00F46E6A">
              <w:rPr>
                <w:rFonts w:ascii="Tahoma" w:eastAsia="Times New Roman" w:hAnsi="Tahoma" w:cs="Tahoma"/>
                <w:color w:val="auto"/>
                <w:sz w:val="20"/>
                <w:szCs w:val="20"/>
              </w:rPr>
              <w:t xml:space="preserve"> GASTOS EFECTIVAMENTE COMPROMETIDOS </w:t>
            </w:r>
          </w:p>
        </w:tc>
        <w:tc>
          <w:tcPr>
            <w:tcW w:w="2160" w:type="dxa"/>
            <w:tcBorders>
              <w:top w:val="single" w:sz="4" w:space="0" w:color="auto"/>
              <w:left w:val="nil"/>
              <w:bottom w:val="single" w:sz="4" w:space="0" w:color="auto"/>
              <w:right w:val="single" w:sz="4" w:space="0" w:color="auto"/>
            </w:tcBorders>
            <w:shd w:val="clear" w:color="auto" w:fill="auto"/>
            <w:vAlign w:val="bottom"/>
            <w:hideMark/>
          </w:tcPr>
          <w:p w:rsidR="00F46E6A" w:rsidRPr="00F46E6A" w:rsidRDefault="00F46E6A" w:rsidP="00F46E6A">
            <w:pPr>
              <w:spacing w:before="0" w:after="0"/>
              <w:jc w:val="center"/>
              <w:rPr>
                <w:rFonts w:ascii="Tahoma" w:eastAsia="Times New Roman" w:hAnsi="Tahoma" w:cs="Tahoma"/>
                <w:color w:val="auto"/>
                <w:sz w:val="20"/>
                <w:szCs w:val="20"/>
              </w:rPr>
            </w:pPr>
            <w:r w:rsidRPr="00F46E6A">
              <w:rPr>
                <w:rFonts w:ascii="Tahoma" w:eastAsia="Times New Roman" w:hAnsi="Tahoma" w:cs="Tahoma"/>
                <w:color w:val="auto"/>
                <w:sz w:val="20"/>
                <w:szCs w:val="20"/>
              </w:rPr>
              <w:t xml:space="preserve"> DEFICIT  O  SUPERAVIT</w:t>
            </w:r>
            <w:r w:rsidRPr="00F46E6A">
              <w:rPr>
                <w:rFonts w:ascii="Tahoma" w:eastAsia="Times New Roman" w:hAnsi="Tahoma" w:cs="Tahoma"/>
                <w:color w:val="auto"/>
                <w:sz w:val="20"/>
                <w:szCs w:val="20"/>
              </w:rPr>
              <w:br/>
              <w:t xml:space="preserve">PRESUPUESTAL </w:t>
            </w:r>
          </w:p>
        </w:tc>
      </w:tr>
      <w:tr w:rsidR="00F46E6A" w:rsidRPr="00F46E6A" w:rsidTr="00F46E6A">
        <w:trPr>
          <w:trHeight w:val="264"/>
          <w:jc w:val="center"/>
        </w:trPr>
        <w:tc>
          <w:tcPr>
            <w:tcW w:w="2480" w:type="dxa"/>
            <w:tcBorders>
              <w:top w:val="nil"/>
              <w:left w:val="single" w:sz="4" w:space="0" w:color="auto"/>
              <w:bottom w:val="single" w:sz="4" w:space="0" w:color="auto"/>
              <w:right w:val="single" w:sz="4" w:space="0" w:color="auto"/>
            </w:tcBorders>
            <w:shd w:val="clear" w:color="auto" w:fill="auto"/>
            <w:noWrap/>
            <w:vAlign w:val="bottom"/>
            <w:hideMark/>
          </w:tcPr>
          <w:p w:rsidR="00F46E6A" w:rsidRPr="00F46E6A" w:rsidRDefault="00F46E6A" w:rsidP="00F46E6A">
            <w:pPr>
              <w:spacing w:before="0" w:after="0"/>
              <w:rPr>
                <w:rFonts w:ascii="Tahoma" w:eastAsia="Times New Roman" w:hAnsi="Tahoma" w:cs="Tahoma"/>
                <w:color w:val="auto"/>
                <w:sz w:val="20"/>
                <w:szCs w:val="20"/>
              </w:rPr>
            </w:pPr>
            <w:r w:rsidRPr="00F46E6A">
              <w:rPr>
                <w:rFonts w:ascii="Tahoma" w:eastAsia="Times New Roman" w:hAnsi="Tahoma" w:cs="Tahoma"/>
                <w:color w:val="auto"/>
                <w:sz w:val="20"/>
                <w:szCs w:val="20"/>
              </w:rPr>
              <w:t xml:space="preserve">                </w:t>
            </w:r>
            <w:r w:rsidR="00ED6C00">
              <w:rPr>
                <w:rFonts w:ascii="Tahoma" w:eastAsia="Times New Roman" w:hAnsi="Tahoma" w:cs="Tahoma"/>
                <w:color w:val="auto"/>
                <w:sz w:val="20"/>
                <w:szCs w:val="20"/>
              </w:rPr>
              <w:t>$</w:t>
            </w:r>
            <w:r w:rsidRPr="00F46E6A">
              <w:rPr>
                <w:rFonts w:ascii="Tahoma" w:eastAsia="Times New Roman" w:hAnsi="Tahoma" w:cs="Tahoma"/>
                <w:color w:val="auto"/>
                <w:sz w:val="20"/>
                <w:szCs w:val="20"/>
              </w:rPr>
              <w:t xml:space="preserve">23,612,003,787 </w:t>
            </w:r>
          </w:p>
        </w:tc>
        <w:tc>
          <w:tcPr>
            <w:tcW w:w="2200" w:type="dxa"/>
            <w:tcBorders>
              <w:top w:val="nil"/>
              <w:left w:val="nil"/>
              <w:bottom w:val="single" w:sz="4" w:space="0" w:color="auto"/>
              <w:right w:val="single" w:sz="4" w:space="0" w:color="auto"/>
            </w:tcBorders>
            <w:shd w:val="clear" w:color="auto" w:fill="auto"/>
            <w:noWrap/>
            <w:vAlign w:val="bottom"/>
            <w:hideMark/>
          </w:tcPr>
          <w:p w:rsidR="00F46E6A" w:rsidRPr="00F46E6A" w:rsidRDefault="00F46E6A" w:rsidP="00F46E6A">
            <w:pPr>
              <w:spacing w:before="0" w:after="0"/>
              <w:rPr>
                <w:rFonts w:ascii="Tahoma" w:eastAsia="Times New Roman" w:hAnsi="Tahoma" w:cs="Tahoma"/>
                <w:color w:val="auto"/>
                <w:sz w:val="20"/>
                <w:szCs w:val="20"/>
              </w:rPr>
            </w:pPr>
            <w:r w:rsidRPr="00F46E6A">
              <w:rPr>
                <w:rFonts w:ascii="Tahoma" w:eastAsia="Times New Roman" w:hAnsi="Tahoma" w:cs="Tahoma"/>
                <w:color w:val="auto"/>
                <w:sz w:val="20"/>
                <w:szCs w:val="20"/>
              </w:rPr>
              <w:t xml:space="preserve">           </w:t>
            </w:r>
            <w:r w:rsidR="00ED6C00">
              <w:rPr>
                <w:rFonts w:ascii="Tahoma" w:eastAsia="Times New Roman" w:hAnsi="Tahoma" w:cs="Tahoma"/>
                <w:color w:val="auto"/>
                <w:sz w:val="20"/>
                <w:szCs w:val="20"/>
              </w:rPr>
              <w:t>$</w:t>
            </w:r>
            <w:r w:rsidRPr="00F46E6A">
              <w:rPr>
                <w:rFonts w:ascii="Tahoma" w:eastAsia="Times New Roman" w:hAnsi="Tahoma" w:cs="Tahoma"/>
                <w:color w:val="auto"/>
                <w:sz w:val="20"/>
                <w:szCs w:val="20"/>
              </w:rPr>
              <w:t xml:space="preserve">23,663,254,988 </w:t>
            </w:r>
          </w:p>
        </w:tc>
        <w:tc>
          <w:tcPr>
            <w:tcW w:w="2160" w:type="dxa"/>
            <w:tcBorders>
              <w:top w:val="nil"/>
              <w:left w:val="nil"/>
              <w:bottom w:val="single" w:sz="4" w:space="0" w:color="auto"/>
              <w:right w:val="single" w:sz="4" w:space="0" w:color="auto"/>
            </w:tcBorders>
            <w:shd w:val="clear" w:color="auto" w:fill="auto"/>
            <w:noWrap/>
            <w:vAlign w:val="bottom"/>
            <w:hideMark/>
          </w:tcPr>
          <w:p w:rsidR="00F46E6A" w:rsidRPr="00F46E6A" w:rsidRDefault="00F46E6A" w:rsidP="00F46E6A">
            <w:pPr>
              <w:spacing w:before="0" w:after="0"/>
              <w:rPr>
                <w:rFonts w:ascii="Tahoma" w:eastAsia="Times New Roman" w:hAnsi="Tahoma" w:cs="Tahoma"/>
                <w:color w:val="auto"/>
                <w:sz w:val="20"/>
                <w:szCs w:val="20"/>
              </w:rPr>
            </w:pPr>
            <w:r w:rsidRPr="00F46E6A">
              <w:rPr>
                <w:rFonts w:ascii="Tahoma" w:eastAsia="Times New Roman" w:hAnsi="Tahoma" w:cs="Tahoma"/>
                <w:color w:val="auto"/>
                <w:sz w:val="20"/>
                <w:szCs w:val="20"/>
              </w:rPr>
              <w:t xml:space="preserve">               </w:t>
            </w:r>
            <w:r w:rsidR="00ED6C00">
              <w:rPr>
                <w:rFonts w:ascii="Tahoma" w:eastAsia="Times New Roman" w:hAnsi="Tahoma" w:cs="Tahoma"/>
                <w:color w:val="auto"/>
                <w:sz w:val="20"/>
                <w:szCs w:val="20"/>
              </w:rPr>
              <w:t>$</w:t>
            </w:r>
            <w:r w:rsidRPr="00F46E6A">
              <w:rPr>
                <w:rFonts w:ascii="Tahoma" w:eastAsia="Times New Roman" w:hAnsi="Tahoma" w:cs="Tahoma"/>
                <w:color w:val="auto"/>
                <w:sz w:val="20"/>
                <w:szCs w:val="20"/>
              </w:rPr>
              <w:t>(51,251,201)</w:t>
            </w:r>
          </w:p>
        </w:tc>
      </w:tr>
    </w:tbl>
    <w:p w:rsidR="00477304" w:rsidRDefault="00477304" w:rsidP="00B212CE"/>
    <w:p w:rsidR="004F7914" w:rsidRPr="00CA76CA" w:rsidRDefault="00BD4C82" w:rsidP="00CA76CA">
      <w:pPr>
        <w:jc w:val="both"/>
        <w:rPr>
          <w:rFonts w:ascii="Tahoma" w:hAnsi="Tahoma" w:cs="Tahoma"/>
        </w:rPr>
      </w:pPr>
      <w:r w:rsidRPr="00CA76CA">
        <w:rPr>
          <w:rFonts w:ascii="Tahoma" w:hAnsi="Tahoma" w:cs="Tahoma"/>
        </w:rPr>
        <w:t xml:space="preserve">El conocimiento oportuno y preciso de los resultados de la gestión de los recursos públicos durante un período, es indispensable no sólo para juzgar su pertinencia y eficiencia, sino también para tomar los correctivos orientados al logro de las metas fiscales y económicas propuestas. </w:t>
      </w:r>
      <w:r w:rsidR="004F7914" w:rsidRPr="00CA76CA">
        <w:rPr>
          <w:rFonts w:ascii="Tahoma" w:hAnsi="Tahoma" w:cs="Tahoma"/>
        </w:rPr>
        <w:t xml:space="preserve"> </w:t>
      </w:r>
    </w:p>
    <w:p w:rsidR="004F7914" w:rsidRPr="00CA76CA" w:rsidRDefault="004F7914" w:rsidP="00B212CE">
      <w:pPr>
        <w:rPr>
          <w:rFonts w:ascii="Tahoma" w:hAnsi="Tahoma" w:cs="Tahoma"/>
        </w:rPr>
      </w:pPr>
    </w:p>
    <w:p w:rsidR="008C00FD" w:rsidRPr="00CA76CA" w:rsidRDefault="00BD4C82" w:rsidP="00B212CE">
      <w:pPr>
        <w:rPr>
          <w:rFonts w:ascii="Tahoma" w:hAnsi="Tahoma" w:cs="Tahoma"/>
          <w:b/>
        </w:rPr>
      </w:pPr>
      <w:r w:rsidRPr="00CA76CA">
        <w:rPr>
          <w:rFonts w:ascii="Tahoma" w:hAnsi="Tahoma" w:cs="Tahoma"/>
          <w:b/>
        </w:rPr>
        <w:t>RECOMENDACIONES</w:t>
      </w:r>
    </w:p>
    <w:p w:rsidR="008C00FD" w:rsidRPr="00CA76CA" w:rsidRDefault="008C00FD" w:rsidP="00B212CE">
      <w:pPr>
        <w:rPr>
          <w:rFonts w:ascii="Tahoma" w:hAnsi="Tahoma" w:cs="Tahoma"/>
        </w:rPr>
      </w:pPr>
    </w:p>
    <w:p w:rsidR="00FE1BB9" w:rsidRPr="00CA76CA" w:rsidRDefault="00D51763" w:rsidP="00D51763">
      <w:pPr>
        <w:jc w:val="both"/>
        <w:rPr>
          <w:rFonts w:ascii="Tahoma" w:hAnsi="Tahoma" w:cs="Tahoma"/>
        </w:rPr>
      </w:pPr>
      <w:r w:rsidRPr="00CA76CA">
        <w:rPr>
          <w:rFonts w:ascii="Tahoma" w:hAnsi="Tahoma" w:cs="Tahoma"/>
        </w:rPr>
        <w:t xml:space="preserve">Se recomienda hacer </w:t>
      </w:r>
      <w:r w:rsidR="00FE1BB9" w:rsidRPr="00CA76CA">
        <w:rPr>
          <w:rFonts w:ascii="Tahoma" w:hAnsi="Tahoma" w:cs="Tahoma"/>
        </w:rPr>
        <w:t xml:space="preserve">una mejor planeación, </w:t>
      </w:r>
      <w:r w:rsidRPr="00CA76CA">
        <w:rPr>
          <w:rFonts w:ascii="Tahoma" w:hAnsi="Tahoma" w:cs="Tahoma"/>
        </w:rPr>
        <w:t>un</w:t>
      </w:r>
      <w:r w:rsidR="00FE1BB9" w:rsidRPr="00CA76CA">
        <w:rPr>
          <w:rFonts w:ascii="Tahoma" w:hAnsi="Tahoma" w:cs="Tahoma"/>
        </w:rPr>
        <w:t>a</w:t>
      </w:r>
      <w:r w:rsidRPr="00CA76CA">
        <w:rPr>
          <w:rFonts w:ascii="Tahoma" w:hAnsi="Tahoma" w:cs="Tahoma"/>
        </w:rPr>
        <w:t xml:space="preserve"> mayor racionalización del Gasto,</w:t>
      </w:r>
      <w:r w:rsidR="00FE1BB9" w:rsidRPr="00CA76CA">
        <w:rPr>
          <w:rFonts w:ascii="Tahoma" w:hAnsi="Tahoma" w:cs="Tahoma"/>
        </w:rPr>
        <w:t xml:space="preserve"> </w:t>
      </w:r>
      <w:r w:rsidR="00F46E6A">
        <w:rPr>
          <w:rFonts w:ascii="Tahoma" w:hAnsi="Tahoma" w:cs="Tahoma"/>
        </w:rPr>
        <w:t xml:space="preserve">específicamente los gastos de funcionamiento, </w:t>
      </w:r>
      <w:r w:rsidR="00FE1BB9" w:rsidRPr="00CA76CA">
        <w:rPr>
          <w:rFonts w:ascii="Tahoma" w:hAnsi="Tahoma" w:cs="Tahoma"/>
        </w:rPr>
        <w:t xml:space="preserve">fortalecer </w:t>
      </w:r>
      <w:r w:rsidR="00F46E6A">
        <w:rPr>
          <w:rFonts w:ascii="Tahoma" w:hAnsi="Tahoma" w:cs="Tahoma"/>
        </w:rPr>
        <w:t>el recaudo y el cobro coactivo</w:t>
      </w:r>
      <w:r w:rsidR="00FE1BB9" w:rsidRPr="00CA76CA">
        <w:rPr>
          <w:rFonts w:ascii="Tahoma" w:hAnsi="Tahoma" w:cs="Tahoma"/>
        </w:rPr>
        <w:t xml:space="preserve"> con el fin de mejorar indicadores y mostrar una mejor eficiencia fiscal.</w:t>
      </w:r>
    </w:p>
    <w:p w:rsidR="005C0DCB" w:rsidRDefault="005C0DCB" w:rsidP="005C0DCB">
      <w:pPr>
        <w:spacing w:before="0" w:after="0" w:line="228" w:lineRule="auto"/>
        <w:jc w:val="both"/>
      </w:pPr>
    </w:p>
    <w:p w:rsidR="005C0DCB" w:rsidRDefault="005C0DCB" w:rsidP="005C0DCB">
      <w:pPr>
        <w:tabs>
          <w:tab w:val="left" w:pos="6480"/>
        </w:tabs>
        <w:spacing w:before="0" w:after="0" w:line="228" w:lineRule="auto"/>
        <w:rPr>
          <w:rFonts w:ascii="Tahoma" w:hAnsi="Tahoma" w:cs="Tahoma"/>
          <w:b/>
          <w:sz w:val="16"/>
        </w:rPr>
      </w:pPr>
      <w:r>
        <w:rPr>
          <w:rFonts w:ascii="Tahoma" w:hAnsi="Tahoma" w:cs="Tahoma"/>
          <w:b/>
          <w:sz w:val="16"/>
        </w:rPr>
        <w:tab/>
      </w:r>
    </w:p>
    <w:sectPr w:rsidR="005C0DCB" w:rsidSect="00E566A8">
      <w:headerReference w:type="default" r:id="rId23"/>
      <w:footerReference w:type="default" r:id="rId24"/>
      <w:pgSz w:w="12242" w:h="15842" w:code="1"/>
      <w:pgMar w:top="2268" w:right="1701" w:bottom="2836" w:left="1701" w:header="57" w:footer="191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1D0A" w:rsidRDefault="00981D0A" w:rsidP="00650A99">
      <w:r>
        <w:separator/>
      </w:r>
    </w:p>
  </w:endnote>
  <w:endnote w:type="continuationSeparator" w:id="0">
    <w:p w:rsidR="00981D0A" w:rsidRDefault="00981D0A" w:rsidP="00650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FDB" w:rsidRPr="00070555" w:rsidRDefault="00763FDB">
    <w:pPr>
      <w:pStyle w:val="Piedepgina"/>
      <w:rPr>
        <w:rFonts w:ascii="Tahoma" w:hAnsi="Tahoma" w:cs="Tahoma"/>
        <w:sz w:val="14"/>
        <w:szCs w:val="20"/>
      </w:rPr>
    </w:pPr>
    <w:r w:rsidRPr="00070555">
      <w:rPr>
        <w:rFonts w:ascii="Tahoma" w:hAnsi="Tahoma" w:cs="Tahoma"/>
        <w:noProof/>
        <w:sz w:val="18"/>
        <w:szCs w:val="18"/>
      </w:rPr>
      <mc:AlternateContent>
        <mc:Choice Requires="wps">
          <w:drawing>
            <wp:anchor distT="0" distB="0" distL="114300" distR="114300" simplePos="0" relativeHeight="251666432" behindDoc="0" locked="0" layoutInCell="1" allowOverlap="1" wp14:anchorId="3C7B4A50" wp14:editId="60DEA3D8">
              <wp:simplePos x="0" y="0"/>
              <wp:positionH relativeFrom="column">
                <wp:posOffset>-157480</wp:posOffset>
              </wp:positionH>
              <wp:positionV relativeFrom="paragraph">
                <wp:posOffset>88265</wp:posOffset>
              </wp:positionV>
              <wp:extent cx="2827020" cy="1309370"/>
              <wp:effectExtent l="0" t="0" r="0" b="5080"/>
              <wp:wrapNone/>
              <wp:docPr id="2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7020" cy="1309370"/>
                      </a:xfrm>
                      <a:prstGeom prst="rect">
                        <a:avLst/>
                      </a:prstGeom>
                      <a:noFill/>
                      <a:ln w="9525">
                        <a:noFill/>
                        <a:miter lim="800000"/>
                        <a:headEnd/>
                        <a:tailEnd/>
                      </a:ln>
                    </wps:spPr>
                    <wps:txbx>
                      <w:txbxContent>
                        <w:p w:rsidR="00763FDB"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________________________________________</w:t>
                          </w:r>
                        </w:p>
                        <w:p w:rsidR="00763FDB"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763FDB" w:rsidRPr="00BB3D88"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763FDB" w:rsidRPr="003205FF" w:rsidRDefault="0000170F"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1" w:history="1">
                            <w:r w:rsidR="00763FDB" w:rsidRPr="003205FF">
                              <w:rPr>
                                <w:rStyle w:val="Hipervnculo"/>
                                <w:rFonts w:ascii="Tahoma" w:hAnsi="Tahoma" w:cs="Tahoma"/>
                                <w:color w:val="auto"/>
                                <w:sz w:val="18"/>
                                <w:szCs w:val="18"/>
                                <w:u w:val="none"/>
                              </w:rPr>
                              <w:t>despacho.contraloria@contraloriatolima.gov.co</w:t>
                            </w:r>
                          </w:hyperlink>
                        </w:p>
                        <w:p w:rsidR="00763FDB" w:rsidRPr="000352F0" w:rsidRDefault="00763FDB"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 xml:space="preserve">Web-Site:  </w:t>
                          </w:r>
                          <w:hyperlink r:id="rId2" w:history="1">
                            <w:r w:rsidRPr="000352F0">
                              <w:rPr>
                                <w:rStyle w:val="Hipervnculo"/>
                                <w:rFonts w:ascii="Tahoma" w:hAnsi="Tahoma" w:cs="Tahoma"/>
                                <w:color w:val="auto"/>
                                <w:sz w:val="18"/>
                                <w:szCs w:val="18"/>
                                <w:u w:val="none"/>
                              </w:rPr>
                              <w:t>www.contraloriatolima.gov.co</w:t>
                            </w:r>
                          </w:hyperlink>
                        </w:p>
                        <w:p w:rsidR="00763FDB" w:rsidRPr="00BB3D88" w:rsidRDefault="00763FDB"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763FDB" w:rsidRPr="00A926CE" w:rsidRDefault="00763FDB"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7B4A50" id="_x0000_t202" coordsize="21600,21600" o:spt="202" path="m,l,21600r21600,l21600,xe">
              <v:stroke joinstyle="miter"/>
              <v:path gradientshapeok="t" o:connecttype="rect"/>
            </v:shapetype>
            <v:shape id="Cuadro de texto 2" o:spid="_x0000_s1026" type="#_x0000_t202" style="position:absolute;margin-left:-12.4pt;margin-top:6.95pt;width:222.6pt;height:103.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" filled="f" stroked="f">
              <v:textbox>
                <w:txbxContent>
                  <w:p w:rsidR="00763FDB"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________________________________________</w:t>
                    </w:r>
                  </w:p>
                  <w:p w:rsidR="00763FDB"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763FDB" w:rsidRPr="00BB3D88"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763FDB" w:rsidRPr="003205FF" w:rsidRDefault="0000170F"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3" w:history="1">
                      <w:r w:rsidR="00763FDB" w:rsidRPr="003205FF">
                        <w:rPr>
                          <w:rStyle w:val="Hipervnculo"/>
                          <w:rFonts w:ascii="Tahoma" w:hAnsi="Tahoma" w:cs="Tahoma"/>
                          <w:color w:val="auto"/>
                          <w:sz w:val="18"/>
                          <w:szCs w:val="18"/>
                          <w:u w:val="none"/>
                        </w:rPr>
                        <w:t>despacho.contraloria@contraloriatolima.gov.co</w:t>
                      </w:r>
                    </w:hyperlink>
                  </w:p>
                  <w:p w:rsidR="00763FDB" w:rsidRPr="000352F0" w:rsidRDefault="00763FDB"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 xml:space="preserve">Web-Site:  </w:t>
                    </w:r>
                    <w:hyperlink r:id="rId4" w:history="1">
                      <w:r w:rsidRPr="000352F0">
                        <w:rPr>
                          <w:rStyle w:val="Hipervnculo"/>
                          <w:rFonts w:ascii="Tahoma" w:hAnsi="Tahoma" w:cs="Tahoma"/>
                          <w:color w:val="auto"/>
                          <w:sz w:val="18"/>
                          <w:szCs w:val="18"/>
                          <w:u w:val="none"/>
                        </w:rPr>
                        <w:t>www.contraloriatolima.gov.co</w:t>
                      </w:r>
                    </w:hyperlink>
                  </w:p>
                  <w:p w:rsidR="00763FDB" w:rsidRPr="00BB3D88" w:rsidRDefault="00763FDB"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763FDB" w:rsidRPr="00A926CE" w:rsidRDefault="00763FDB"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v:textbox>
            </v:shape>
          </w:pict>
        </mc:Fallback>
      </mc:AlternateContent>
    </w:r>
    <w:r w:rsidRPr="00070555">
      <w:rPr>
        <w:rFonts w:ascii="Tahoma" w:hAnsi="Tahoma" w:cs="Tahoma"/>
        <w:noProof/>
        <w:sz w:val="14"/>
        <w:szCs w:val="20"/>
      </w:rPr>
      <mc:AlternateContent>
        <mc:Choice Requires="wps">
          <w:drawing>
            <wp:anchor distT="0" distB="0" distL="114300" distR="114300" simplePos="0" relativeHeight="251668480" behindDoc="0" locked="0" layoutInCell="1" allowOverlap="1" wp14:anchorId="58408BEE" wp14:editId="3F4509F8">
              <wp:simplePos x="0" y="0"/>
              <wp:positionH relativeFrom="column">
                <wp:posOffset>2510790</wp:posOffset>
              </wp:positionH>
              <wp:positionV relativeFrom="paragraph">
                <wp:posOffset>28575</wp:posOffset>
              </wp:positionV>
              <wp:extent cx="1190625" cy="297815"/>
              <wp:effectExtent l="0" t="0" r="0" b="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297815"/>
                      </a:xfrm>
                      <a:prstGeom prst="rect">
                        <a:avLst/>
                      </a:prstGeom>
                      <a:noFill/>
                      <a:ln w="9525">
                        <a:noFill/>
                        <a:miter lim="800000"/>
                        <a:headEnd/>
                        <a:tailEnd/>
                      </a:ln>
                    </wps:spPr>
                    <wps:txbx>
                      <w:txbxContent>
                        <w:p w:rsidR="00763FDB" w:rsidRPr="003205FF" w:rsidRDefault="00763FDB" w:rsidP="00B6483D">
                          <w:pPr>
                            <w:jc w:val="center"/>
                            <w:rPr>
                              <w:rFonts w:ascii="Tahoma" w:hAnsi="Tahoma" w:cs="Tahoma"/>
                              <w:sz w:val="14"/>
                              <w:szCs w:val="16"/>
                            </w:rPr>
                          </w:pPr>
                          <w:r w:rsidRPr="003205FF">
                            <w:rPr>
                              <w:rFonts w:ascii="Tahoma" w:hAnsi="Tahoma" w:cs="Tahoma"/>
                              <w:sz w:val="14"/>
                              <w:szCs w:val="16"/>
                            </w:rPr>
                            <w:fldChar w:fldCharType="begin"/>
                          </w:r>
                          <w:r w:rsidRPr="003205FF">
                            <w:rPr>
                              <w:rFonts w:ascii="Tahoma" w:hAnsi="Tahoma" w:cs="Tahoma"/>
                              <w:sz w:val="14"/>
                              <w:szCs w:val="16"/>
                            </w:rPr>
                            <w:instrText>PAGE  \* Arabic  \* MERGEFORMAT</w:instrText>
                          </w:r>
                          <w:r w:rsidRPr="003205FF">
                            <w:rPr>
                              <w:rFonts w:ascii="Tahoma" w:hAnsi="Tahoma" w:cs="Tahoma"/>
                              <w:sz w:val="14"/>
                              <w:szCs w:val="16"/>
                            </w:rPr>
                            <w:fldChar w:fldCharType="separate"/>
                          </w:r>
                          <w:r w:rsidR="0000170F" w:rsidRPr="0000170F">
                            <w:rPr>
                              <w:rFonts w:ascii="Tahoma" w:hAnsi="Tahoma" w:cs="Tahoma"/>
                              <w:noProof/>
                              <w:sz w:val="14"/>
                              <w:szCs w:val="16"/>
                              <w:lang w:val="es-ES"/>
                            </w:rPr>
                            <w:t>2</w:t>
                          </w:r>
                          <w:r w:rsidRPr="003205FF">
                            <w:rPr>
                              <w:rFonts w:ascii="Tahoma" w:hAnsi="Tahoma" w:cs="Tahoma"/>
                              <w:sz w:val="14"/>
                              <w:szCs w:val="16"/>
                            </w:rPr>
                            <w:fldChar w:fldCharType="end"/>
                          </w:r>
                          <w:r w:rsidRPr="003205FF">
                            <w:rPr>
                              <w:rFonts w:ascii="Tahoma" w:hAnsi="Tahoma" w:cs="Tahoma"/>
                              <w:sz w:val="12"/>
                              <w:szCs w:val="16"/>
                              <w:lang w:val="es-ES"/>
                            </w:rPr>
                            <w:t xml:space="preserve"> de </w:t>
                          </w:r>
                          <w:r w:rsidRPr="003205FF">
                            <w:rPr>
                              <w:rFonts w:ascii="Tahoma" w:hAnsi="Tahoma" w:cs="Tahoma"/>
                              <w:sz w:val="14"/>
                              <w:szCs w:val="16"/>
                            </w:rPr>
                            <w:fldChar w:fldCharType="begin"/>
                          </w:r>
                          <w:r w:rsidRPr="003205FF">
                            <w:rPr>
                              <w:rFonts w:ascii="Tahoma" w:hAnsi="Tahoma" w:cs="Tahoma"/>
                              <w:sz w:val="14"/>
                              <w:szCs w:val="16"/>
                            </w:rPr>
                            <w:instrText>NUMPAGES  \* Arabic  \* MERGEFORMAT</w:instrText>
                          </w:r>
                          <w:r w:rsidRPr="003205FF">
                            <w:rPr>
                              <w:rFonts w:ascii="Tahoma" w:hAnsi="Tahoma" w:cs="Tahoma"/>
                              <w:sz w:val="14"/>
                              <w:szCs w:val="16"/>
                            </w:rPr>
                            <w:fldChar w:fldCharType="separate"/>
                          </w:r>
                          <w:r w:rsidR="0000170F" w:rsidRPr="0000170F">
                            <w:rPr>
                              <w:rFonts w:ascii="Tahoma" w:hAnsi="Tahoma" w:cs="Tahoma"/>
                              <w:noProof/>
                              <w:sz w:val="14"/>
                              <w:szCs w:val="16"/>
                              <w:lang w:val="es-ES"/>
                            </w:rPr>
                            <w:t>17</w:t>
                          </w:r>
                          <w:r w:rsidRPr="003205FF">
                            <w:rPr>
                              <w:rFonts w:ascii="Tahoma" w:hAnsi="Tahoma" w:cs="Tahoma"/>
                              <w:sz w:val="14"/>
                              <w:szCs w:val="16"/>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408BEE" id="_x0000_s1027" type="#_x0000_t202" style="position:absolute;margin-left:197.7pt;margin-top:2.25pt;width:93.75pt;height:2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" filled="f" stroked="f">
              <v:textbox>
                <w:txbxContent>
                  <w:p w:rsidR="00763FDB" w:rsidRPr="003205FF" w:rsidRDefault="00763FDB" w:rsidP="00B6483D">
                    <w:pPr>
                      <w:jc w:val="center"/>
                      <w:rPr>
                        <w:rFonts w:ascii="Tahoma" w:hAnsi="Tahoma" w:cs="Tahoma"/>
                        <w:sz w:val="14"/>
                        <w:szCs w:val="16"/>
                      </w:rPr>
                    </w:pPr>
                    <w:r w:rsidRPr="003205FF">
                      <w:rPr>
                        <w:rFonts w:ascii="Tahoma" w:hAnsi="Tahoma" w:cs="Tahoma"/>
                        <w:sz w:val="14"/>
                        <w:szCs w:val="16"/>
                      </w:rPr>
                      <w:fldChar w:fldCharType="begin"/>
                    </w:r>
                    <w:r w:rsidRPr="003205FF">
                      <w:rPr>
                        <w:rFonts w:ascii="Tahoma" w:hAnsi="Tahoma" w:cs="Tahoma"/>
                        <w:sz w:val="14"/>
                        <w:szCs w:val="16"/>
                      </w:rPr>
                      <w:instrText>PAGE  \* Arabic  \* MERGEFORMAT</w:instrText>
                    </w:r>
                    <w:r w:rsidRPr="003205FF">
                      <w:rPr>
                        <w:rFonts w:ascii="Tahoma" w:hAnsi="Tahoma" w:cs="Tahoma"/>
                        <w:sz w:val="14"/>
                        <w:szCs w:val="16"/>
                      </w:rPr>
                      <w:fldChar w:fldCharType="separate"/>
                    </w:r>
                    <w:r w:rsidR="0000170F" w:rsidRPr="0000170F">
                      <w:rPr>
                        <w:rFonts w:ascii="Tahoma" w:hAnsi="Tahoma" w:cs="Tahoma"/>
                        <w:noProof/>
                        <w:sz w:val="14"/>
                        <w:szCs w:val="16"/>
                        <w:lang w:val="es-ES"/>
                      </w:rPr>
                      <w:t>2</w:t>
                    </w:r>
                    <w:r w:rsidRPr="003205FF">
                      <w:rPr>
                        <w:rFonts w:ascii="Tahoma" w:hAnsi="Tahoma" w:cs="Tahoma"/>
                        <w:sz w:val="14"/>
                        <w:szCs w:val="16"/>
                      </w:rPr>
                      <w:fldChar w:fldCharType="end"/>
                    </w:r>
                    <w:r w:rsidRPr="003205FF">
                      <w:rPr>
                        <w:rFonts w:ascii="Tahoma" w:hAnsi="Tahoma" w:cs="Tahoma"/>
                        <w:sz w:val="12"/>
                        <w:szCs w:val="16"/>
                        <w:lang w:val="es-ES"/>
                      </w:rPr>
                      <w:t xml:space="preserve"> de </w:t>
                    </w:r>
                    <w:r w:rsidRPr="003205FF">
                      <w:rPr>
                        <w:rFonts w:ascii="Tahoma" w:hAnsi="Tahoma" w:cs="Tahoma"/>
                        <w:sz w:val="14"/>
                        <w:szCs w:val="16"/>
                      </w:rPr>
                      <w:fldChar w:fldCharType="begin"/>
                    </w:r>
                    <w:r w:rsidRPr="003205FF">
                      <w:rPr>
                        <w:rFonts w:ascii="Tahoma" w:hAnsi="Tahoma" w:cs="Tahoma"/>
                        <w:sz w:val="14"/>
                        <w:szCs w:val="16"/>
                      </w:rPr>
                      <w:instrText>NUMPAGES  \* Arabic  \* MERGEFORMAT</w:instrText>
                    </w:r>
                    <w:r w:rsidRPr="003205FF">
                      <w:rPr>
                        <w:rFonts w:ascii="Tahoma" w:hAnsi="Tahoma" w:cs="Tahoma"/>
                        <w:sz w:val="14"/>
                        <w:szCs w:val="16"/>
                      </w:rPr>
                      <w:fldChar w:fldCharType="separate"/>
                    </w:r>
                    <w:r w:rsidR="0000170F" w:rsidRPr="0000170F">
                      <w:rPr>
                        <w:rFonts w:ascii="Tahoma" w:hAnsi="Tahoma" w:cs="Tahoma"/>
                        <w:noProof/>
                        <w:sz w:val="14"/>
                        <w:szCs w:val="16"/>
                        <w:lang w:val="es-ES"/>
                      </w:rPr>
                      <w:t>17</w:t>
                    </w:r>
                    <w:r w:rsidRPr="003205FF">
                      <w:rPr>
                        <w:rFonts w:ascii="Tahoma" w:hAnsi="Tahoma" w:cs="Tahoma"/>
                        <w:sz w:val="14"/>
                        <w:szCs w:val="16"/>
                      </w:rPr>
                      <w:fldChar w:fldCharType="end"/>
                    </w:r>
                  </w:p>
                </w:txbxContent>
              </v:textbox>
            </v:shape>
          </w:pict>
        </mc:Fallback>
      </mc:AlternateContent>
    </w:r>
  </w:p>
  <w:p w:rsidR="00763FDB" w:rsidRPr="00070555" w:rsidRDefault="00763FDB">
    <w:pPr>
      <w:pStyle w:val="Piedepgina"/>
      <w:rPr>
        <w:rFonts w:ascii="Tahoma" w:hAnsi="Tahoma" w:cs="Tahom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1D0A" w:rsidRDefault="00981D0A" w:rsidP="00650A99">
      <w:r>
        <w:separator/>
      </w:r>
    </w:p>
  </w:footnote>
  <w:footnote w:type="continuationSeparator" w:id="0">
    <w:p w:rsidR="00981D0A" w:rsidRDefault="00981D0A" w:rsidP="00650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FDB" w:rsidRPr="00124F58" w:rsidRDefault="00763FDB">
    <w:pPr>
      <w:pStyle w:val="Encabezado"/>
      <w:rPr>
        <w:rFonts w:ascii="Tahoma" w:hAnsi="Tahoma" w:cs="Tahoma"/>
        <w:sz w:val="8"/>
      </w:rPr>
    </w:pPr>
  </w:p>
  <w:p w:rsidR="00763FDB" w:rsidRDefault="00AC4FA2">
    <w:pPr>
      <w:pStyle w:val="Encabezado"/>
    </w:pPr>
    <w:r>
      <w:rPr>
        <w:noProof/>
      </w:rPr>
      <w:drawing>
        <wp:inline distT="0" distB="0" distL="0" distR="0">
          <wp:extent cx="1571625" cy="1219200"/>
          <wp:effectExtent l="0" t="0" r="9525" b="0"/>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 Contraloria.png"/>
                  <pic:cNvPicPr/>
                </pic:nvPicPr>
                <pic:blipFill>
                  <a:blip r:embed="rId1">
                    <a:extLst>
                      <a:ext uri="{28A0092B-C50C-407E-A947-70E740481C1C}">
                        <a14:useLocalDpi xmlns:a14="http://schemas.microsoft.com/office/drawing/2010/main" val="0"/>
                      </a:ext>
                    </a:extLst>
                  </a:blip>
                  <a:stretch>
                    <a:fillRect/>
                  </a:stretch>
                </pic:blipFill>
                <pic:spPr>
                  <a:xfrm>
                    <a:off x="0" y="0"/>
                    <a:ext cx="1571625" cy="1219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83920"/>
    <w:multiLevelType w:val="multilevel"/>
    <w:tmpl w:val="489AB9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
    <w:nsid w:val="0DB803C8"/>
    <w:multiLevelType w:val="multilevel"/>
    <w:tmpl w:val="489AB9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
    <w:nsid w:val="5CD9317C"/>
    <w:multiLevelType w:val="multilevel"/>
    <w:tmpl w:val="44168D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A99"/>
    <w:rsid w:val="0000170F"/>
    <w:rsid w:val="00001B0E"/>
    <w:rsid w:val="00004FE1"/>
    <w:rsid w:val="00014DDB"/>
    <w:rsid w:val="000229B5"/>
    <w:rsid w:val="00025419"/>
    <w:rsid w:val="0003468E"/>
    <w:rsid w:val="000352F0"/>
    <w:rsid w:val="0003642F"/>
    <w:rsid w:val="000367BB"/>
    <w:rsid w:val="00040B1A"/>
    <w:rsid w:val="00043E5E"/>
    <w:rsid w:val="000448FA"/>
    <w:rsid w:val="00044B50"/>
    <w:rsid w:val="000479B3"/>
    <w:rsid w:val="00054A9B"/>
    <w:rsid w:val="00054CD9"/>
    <w:rsid w:val="0006131A"/>
    <w:rsid w:val="000653AB"/>
    <w:rsid w:val="00070555"/>
    <w:rsid w:val="000711BD"/>
    <w:rsid w:val="000714F0"/>
    <w:rsid w:val="0007281C"/>
    <w:rsid w:val="00072FEB"/>
    <w:rsid w:val="00073152"/>
    <w:rsid w:val="00074463"/>
    <w:rsid w:val="00075575"/>
    <w:rsid w:val="00081209"/>
    <w:rsid w:val="00081BF9"/>
    <w:rsid w:val="00084A9E"/>
    <w:rsid w:val="00084FFA"/>
    <w:rsid w:val="00093AFB"/>
    <w:rsid w:val="00094D4C"/>
    <w:rsid w:val="000A1063"/>
    <w:rsid w:val="000B1067"/>
    <w:rsid w:val="000B2584"/>
    <w:rsid w:val="000B334F"/>
    <w:rsid w:val="000B45AA"/>
    <w:rsid w:val="000C19B8"/>
    <w:rsid w:val="000C524A"/>
    <w:rsid w:val="000C640F"/>
    <w:rsid w:val="000C699D"/>
    <w:rsid w:val="000D251E"/>
    <w:rsid w:val="000D715E"/>
    <w:rsid w:val="000E117C"/>
    <w:rsid w:val="000E1A99"/>
    <w:rsid w:val="000E6AAA"/>
    <w:rsid w:val="000F17B4"/>
    <w:rsid w:val="000F2E89"/>
    <w:rsid w:val="000F4FA1"/>
    <w:rsid w:val="000F5879"/>
    <w:rsid w:val="001002E7"/>
    <w:rsid w:val="001077DC"/>
    <w:rsid w:val="00111B97"/>
    <w:rsid w:val="00113518"/>
    <w:rsid w:val="00120691"/>
    <w:rsid w:val="001206EF"/>
    <w:rsid w:val="00124F58"/>
    <w:rsid w:val="001301DF"/>
    <w:rsid w:val="00131E4E"/>
    <w:rsid w:val="00132C47"/>
    <w:rsid w:val="0013431C"/>
    <w:rsid w:val="001361E3"/>
    <w:rsid w:val="0014091C"/>
    <w:rsid w:val="00142A50"/>
    <w:rsid w:val="0014355A"/>
    <w:rsid w:val="0014403D"/>
    <w:rsid w:val="00146B0F"/>
    <w:rsid w:val="0015068C"/>
    <w:rsid w:val="00150761"/>
    <w:rsid w:val="001531E5"/>
    <w:rsid w:val="00153A3B"/>
    <w:rsid w:val="001542DE"/>
    <w:rsid w:val="001605A0"/>
    <w:rsid w:val="00164E1E"/>
    <w:rsid w:val="00166D26"/>
    <w:rsid w:val="0016790A"/>
    <w:rsid w:val="0017250D"/>
    <w:rsid w:val="00174209"/>
    <w:rsid w:val="001771C0"/>
    <w:rsid w:val="00181EE3"/>
    <w:rsid w:val="00183610"/>
    <w:rsid w:val="001863EB"/>
    <w:rsid w:val="0019672F"/>
    <w:rsid w:val="00196F51"/>
    <w:rsid w:val="001A5473"/>
    <w:rsid w:val="001A5A87"/>
    <w:rsid w:val="001B0E71"/>
    <w:rsid w:val="001B29EB"/>
    <w:rsid w:val="001B475A"/>
    <w:rsid w:val="001B6C00"/>
    <w:rsid w:val="001B7E9B"/>
    <w:rsid w:val="001C1EA3"/>
    <w:rsid w:val="001C42B6"/>
    <w:rsid w:val="001C4742"/>
    <w:rsid w:val="001C7699"/>
    <w:rsid w:val="001D1B45"/>
    <w:rsid w:val="001D6862"/>
    <w:rsid w:val="001D78F5"/>
    <w:rsid w:val="001E008D"/>
    <w:rsid w:val="001E0386"/>
    <w:rsid w:val="001E0C5A"/>
    <w:rsid w:val="001E19D5"/>
    <w:rsid w:val="001E2CF6"/>
    <w:rsid w:val="001E479B"/>
    <w:rsid w:val="001E7B03"/>
    <w:rsid w:val="001F0D65"/>
    <w:rsid w:val="001F11A4"/>
    <w:rsid w:val="001F3E0C"/>
    <w:rsid w:val="001F7AEE"/>
    <w:rsid w:val="002016AE"/>
    <w:rsid w:val="00201E97"/>
    <w:rsid w:val="00202B7B"/>
    <w:rsid w:val="002049C5"/>
    <w:rsid w:val="00211946"/>
    <w:rsid w:val="0021215B"/>
    <w:rsid w:val="00216974"/>
    <w:rsid w:val="00217489"/>
    <w:rsid w:val="002206E8"/>
    <w:rsid w:val="00224140"/>
    <w:rsid w:val="00226503"/>
    <w:rsid w:val="00230103"/>
    <w:rsid w:val="00231ECA"/>
    <w:rsid w:val="00233415"/>
    <w:rsid w:val="00235114"/>
    <w:rsid w:val="00250B2A"/>
    <w:rsid w:val="002510E7"/>
    <w:rsid w:val="00254A87"/>
    <w:rsid w:val="0025641D"/>
    <w:rsid w:val="00256F6A"/>
    <w:rsid w:val="00264A57"/>
    <w:rsid w:val="00267A53"/>
    <w:rsid w:val="002702FE"/>
    <w:rsid w:val="002751D2"/>
    <w:rsid w:val="00281D57"/>
    <w:rsid w:val="00282118"/>
    <w:rsid w:val="00282A1A"/>
    <w:rsid w:val="00285A8B"/>
    <w:rsid w:val="00287CE6"/>
    <w:rsid w:val="00292AA4"/>
    <w:rsid w:val="00293B22"/>
    <w:rsid w:val="00294D5A"/>
    <w:rsid w:val="00294FB6"/>
    <w:rsid w:val="00295E85"/>
    <w:rsid w:val="002978F4"/>
    <w:rsid w:val="00297AD1"/>
    <w:rsid w:val="002A0B28"/>
    <w:rsid w:val="002A4035"/>
    <w:rsid w:val="002A5283"/>
    <w:rsid w:val="002A56BC"/>
    <w:rsid w:val="002B023D"/>
    <w:rsid w:val="002B51C5"/>
    <w:rsid w:val="002C19FA"/>
    <w:rsid w:val="002C24CB"/>
    <w:rsid w:val="002D5091"/>
    <w:rsid w:val="002D62AF"/>
    <w:rsid w:val="002E2CB7"/>
    <w:rsid w:val="002E6C96"/>
    <w:rsid w:val="002F0376"/>
    <w:rsid w:val="002F13E5"/>
    <w:rsid w:val="002F1B9A"/>
    <w:rsid w:val="002F3B9C"/>
    <w:rsid w:val="00300E2D"/>
    <w:rsid w:val="00302682"/>
    <w:rsid w:val="003026A2"/>
    <w:rsid w:val="00303824"/>
    <w:rsid w:val="00314840"/>
    <w:rsid w:val="003203FA"/>
    <w:rsid w:val="003205FF"/>
    <w:rsid w:val="00321EC8"/>
    <w:rsid w:val="00322659"/>
    <w:rsid w:val="00323DE0"/>
    <w:rsid w:val="003305B2"/>
    <w:rsid w:val="00332DE4"/>
    <w:rsid w:val="00337AB0"/>
    <w:rsid w:val="0034022F"/>
    <w:rsid w:val="00341B3E"/>
    <w:rsid w:val="00351487"/>
    <w:rsid w:val="00356B3F"/>
    <w:rsid w:val="00362AAB"/>
    <w:rsid w:val="00367CB1"/>
    <w:rsid w:val="00370F6C"/>
    <w:rsid w:val="00372933"/>
    <w:rsid w:val="00372F40"/>
    <w:rsid w:val="00373B6D"/>
    <w:rsid w:val="003751E2"/>
    <w:rsid w:val="00375CC7"/>
    <w:rsid w:val="003834EF"/>
    <w:rsid w:val="00383D8B"/>
    <w:rsid w:val="0039183D"/>
    <w:rsid w:val="00391C14"/>
    <w:rsid w:val="00394BA1"/>
    <w:rsid w:val="003956E5"/>
    <w:rsid w:val="00396D78"/>
    <w:rsid w:val="00397766"/>
    <w:rsid w:val="003A091C"/>
    <w:rsid w:val="003A2A88"/>
    <w:rsid w:val="003A497B"/>
    <w:rsid w:val="003A5822"/>
    <w:rsid w:val="003B02B7"/>
    <w:rsid w:val="003B030A"/>
    <w:rsid w:val="003B6AFE"/>
    <w:rsid w:val="003C33E8"/>
    <w:rsid w:val="003C5E57"/>
    <w:rsid w:val="003D4B2C"/>
    <w:rsid w:val="003D4DEF"/>
    <w:rsid w:val="003D7840"/>
    <w:rsid w:val="003F0FDF"/>
    <w:rsid w:val="003F4BDE"/>
    <w:rsid w:val="003F5E08"/>
    <w:rsid w:val="00400814"/>
    <w:rsid w:val="00401619"/>
    <w:rsid w:val="0040194D"/>
    <w:rsid w:val="004032C1"/>
    <w:rsid w:val="00407637"/>
    <w:rsid w:val="004120E2"/>
    <w:rsid w:val="00415CC3"/>
    <w:rsid w:val="00425FF4"/>
    <w:rsid w:val="00430D77"/>
    <w:rsid w:val="004312CF"/>
    <w:rsid w:val="0043141A"/>
    <w:rsid w:val="00432670"/>
    <w:rsid w:val="00433EE8"/>
    <w:rsid w:val="00441F50"/>
    <w:rsid w:val="00441F85"/>
    <w:rsid w:val="0044795F"/>
    <w:rsid w:val="00452E65"/>
    <w:rsid w:val="00454315"/>
    <w:rsid w:val="004547A6"/>
    <w:rsid w:val="00454B8B"/>
    <w:rsid w:val="0046718C"/>
    <w:rsid w:val="00467508"/>
    <w:rsid w:val="00467595"/>
    <w:rsid w:val="00471A9A"/>
    <w:rsid w:val="00473EB7"/>
    <w:rsid w:val="00477304"/>
    <w:rsid w:val="004803CC"/>
    <w:rsid w:val="00480FCA"/>
    <w:rsid w:val="00481490"/>
    <w:rsid w:val="0048203B"/>
    <w:rsid w:val="00482348"/>
    <w:rsid w:val="0048241E"/>
    <w:rsid w:val="004824B1"/>
    <w:rsid w:val="00485A4C"/>
    <w:rsid w:val="00490E57"/>
    <w:rsid w:val="00493CDB"/>
    <w:rsid w:val="00494AA1"/>
    <w:rsid w:val="00496461"/>
    <w:rsid w:val="00496A15"/>
    <w:rsid w:val="004A00E3"/>
    <w:rsid w:val="004A6393"/>
    <w:rsid w:val="004A698D"/>
    <w:rsid w:val="004B10C8"/>
    <w:rsid w:val="004B1676"/>
    <w:rsid w:val="004B3739"/>
    <w:rsid w:val="004B3A5F"/>
    <w:rsid w:val="004B791D"/>
    <w:rsid w:val="004B7B3F"/>
    <w:rsid w:val="004C10FE"/>
    <w:rsid w:val="004C250E"/>
    <w:rsid w:val="004C27B6"/>
    <w:rsid w:val="004D0347"/>
    <w:rsid w:val="004D13A4"/>
    <w:rsid w:val="004E17F3"/>
    <w:rsid w:val="004E3F57"/>
    <w:rsid w:val="004E585C"/>
    <w:rsid w:val="004E655D"/>
    <w:rsid w:val="004F0F16"/>
    <w:rsid w:val="004F2F93"/>
    <w:rsid w:val="004F34B7"/>
    <w:rsid w:val="004F758C"/>
    <w:rsid w:val="004F7914"/>
    <w:rsid w:val="004F7C44"/>
    <w:rsid w:val="00502C12"/>
    <w:rsid w:val="00504C03"/>
    <w:rsid w:val="00505067"/>
    <w:rsid w:val="00505A4E"/>
    <w:rsid w:val="005073CF"/>
    <w:rsid w:val="00507C8D"/>
    <w:rsid w:val="00511C4D"/>
    <w:rsid w:val="005124DB"/>
    <w:rsid w:val="005150C9"/>
    <w:rsid w:val="00515BBF"/>
    <w:rsid w:val="00516E68"/>
    <w:rsid w:val="005172FE"/>
    <w:rsid w:val="00517C86"/>
    <w:rsid w:val="00520FA4"/>
    <w:rsid w:val="00521391"/>
    <w:rsid w:val="005220BC"/>
    <w:rsid w:val="005238D0"/>
    <w:rsid w:val="00524E1D"/>
    <w:rsid w:val="0052650A"/>
    <w:rsid w:val="00527649"/>
    <w:rsid w:val="005279E8"/>
    <w:rsid w:val="005325B4"/>
    <w:rsid w:val="0053385B"/>
    <w:rsid w:val="00536B82"/>
    <w:rsid w:val="0054263E"/>
    <w:rsid w:val="00551911"/>
    <w:rsid w:val="00551920"/>
    <w:rsid w:val="00552A0E"/>
    <w:rsid w:val="00552B7F"/>
    <w:rsid w:val="005540CE"/>
    <w:rsid w:val="00554A6E"/>
    <w:rsid w:val="00560B0C"/>
    <w:rsid w:val="00562B5C"/>
    <w:rsid w:val="00563D53"/>
    <w:rsid w:val="00565F73"/>
    <w:rsid w:val="00567980"/>
    <w:rsid w:val="005679E4"/>
    <w:rsid w:val="00577624"/>
    <w:rsid w:val="00577ABF"/>
    <w:rsid w:val="00585BCF"/>
    <w:rsid w:val="00585ED0"/>
    <w:rsid w:val="005916D2"/>
    <w:rsid w:val="00595C35"/>
    <w:rsid w:val="00595DA7"/>
    <w:rsid w:val="00595ED2"/>
    <w:rsid w:val="00596493"/>
    <w:rsid w:val="005A5389"/>
    <w:rsid w:val="005A6091"/>
    <w:rsid w:val="005B0056"/>
    <w:rsid w:val="005B1E55"/>
    <w:rsid w:val="005B4AEC"/>
    <w:rsid w:val="005B6E10"/>
    <w:rsid w:val="005B6F12"/>
    <w:rsid w:val="005C0DCB"/>
    <w:rsid w:val="005C46B0"/>
    <w:rsid w:val="005D173F"/>
    <w:rsid w:val="005D17BC"/>
    <w:rsid w:val="005D4B42"/>
    <w:rsid w:val="005D655F"/>
    <w:rsid w:val="005E0E4A"/>
    <w:rsid w:val="005E1D3C"/>
    <w:rsid w:val="005E1DE9"/>
    <w:rsid w:val="005E5E78"/>
    <w:rsid w:val="005F11EA"/>
    <w:rsid w:val="005F4A02"/>
    <w:rsid w:val="005F5D93"/>
    <w:rsid w:val="00603AAD"/>
    <w:rsid w:val="00604208"/>
    <w:rsid w:val="006075BD"/>
    <w:rsid w:val="00617E98"/>
    <w:rsid w:val="00622F53"/>
    <w:rsid w:val="006309B9"/>
    <w:rsid w:val="00640913"/>
    <w:rsid w:val="00641842"/>
    <w:rsid w:val="006502B2"/>
    <w:rsid w:val="00650A99"/>
    <w:rsid w:val="0065485A"/>
    <w:rsid w:val="00664223"/>
    <w:rsid w:val="00670D69"/>
    <w:rsid w:val="00673491"/>
    <w:rsid w:val="0067483D"/>
    <w:rsid w:val="006753C6"/>
    <w:rsid w:val="00676443"/>
    <w:rsid w:val="006807AC"/>
    <w:rsid w:val="00682367"/>
    <w:rsid w:val="00685A7B"/>
    <w:rsid w:val="00685EF4"/>
    <w:rsid w:val="00691B8F"/>
    <w:rsid w:val="006928D1"/>
    <w:rsid w:val="00692975"/>
    <w:rsid w:val="00697D59"/>
    <w:rsid w:val="006A0029"/>
    <w:rsid w:val="006A05D6"/>
    <w:rsid w:val="006A0F41"/>
    <w:rsid w:val="006A5990"/>
    <w:rsid w:val="006A5FCB"/>
    <w:rsid w:val="006A6FC6"/>
    <w:rsid w:val="006B0537"/>
    <w:rsid w:val="006B5985"/>
    <w:rsid w:val="006B765E"/>
    <w:rsid w:val="006C7116"/>
    <w:rsid w:val="006D2B4A"/>
    <w:rsid w:val="006D7C83"/>
    <w:rsid w:val="006E4583"/>
    <w:rsid w:val="006E5817"/>
    <w:rsid w:val="006F03F4"/>
    <w:rsid w:val="006F26B2"/>
    <w:rsid w:val="006F58C5"/>
    <w:rsid w:val="006F7B44"/>
    <w:rsid w:val="00700DA8"/>
    <w:rsid w:val="00700DB0"/>
    <w:rsid w:val="0070120A"/>
    <w:rsid w:val="00702901"/>
    <w:rsid w:val="00702E4F"/>
    <w:rsid w:val="007042C0"/>
    <w:rsid w:val="007050ED"/>
    <w:rsid w:val="007057E8"/>
    <w:rsid w:val="007062D9"/>
    <w:rsid w:val="00706545"/>
    <w:rsid w:val="00712F01"/>
    <w:rsid w:val="007300AD"/>
    <w:rsid w:val="0073154E"/>
    <w:rsid w:val="00735592"/>
    <w:rsid w:val="00736B63"/>
    <w:rsid w:val="00741448"/>
    <w:rsid w:val="00743253"/>
    <w:rsid w:val="00743E1A"/>
    <w:rsid w:val="00745063"/>
    <w:rsid w:val="00745F39"/>
    <w:rsid w:val="00747180"/>
    <w:rsid w:val="00750582"/>
    <w:rsid w:val="00753182"/>
    <w:rsid w:val="00754D05"/>
    <w:rsid w:val="00762866"/>
    <w:rsid w:val="00763FDB"/>
    <w:rsid w:val="007641A0"/>
    <w:rsid w:val="00766EC2"/>
    <w:rsid w:val="00767FB9"/>
    <w:rsid w:val="00770276"/>
    <w:rsid w:val="00770887"/>
    <w:rsid w:val="00770ADC"/>
    <w:rsid w:val="00771928"/>
    <w:rsid w:val="00771F35"/>
    <w:rsid w:val="00773282"/>
    <w:rsid w:val="00773547"/>
    <w:rsid w:val="00775756"/>
    <w:rsid w:val="00776215"/>
    <w:rsid w:val="007828B7"/>
    <w:rsid w:val="00782F33"/>
    <w:rsid w:val="007877F3"/>
    <w:rsid w:val="00790020"/>
    <w:rsid w:val="00790739"/>
    <w:rsid w:val="00791734"/>
    <w:rsid w:val="00792612"/>
    <w:rsid w:val="00796DDA"/>
    <w:rsid w:val="007A46D7"/>
    <w:rsid w:val="007A4D8D"/>
    <w:rsid w:val="007B4882"/>
    <w:rsid w:val="007B4958"/>
    <w:rsid w:val="007B5621"/>
    <w:rsid w:val="007B6AD6"/>
    <w:rsid w:val="007B70F7"/>
    <w:rsid w:val="007C336F"/>
    <w:rsid w:val="007C4270"/>
    <w:rsid w:val="007C450B"/>
    <w:rsid w:val="007C4578"/>
    <w:rsid w:val="007C532D"/>
    <w:rsid w:val="007D17E3"/>
    <w:rsid w:val="007D411F"/>
    <w:rsid w:val="007E1795"/>
    <w:rsid w:val="007E35B4"/>
    <w:rsid w:val="007E45F2"/>
    <w:rsid w:val="007F2F30"/>
    <w:rsid w:val="007F40C8"/>
    <w:rsid w:val="007F6500"/>
    <w:rsid w:val="007F7858"/>
    <w:rsid w:val="007F7C04"/>
    <w:rsid w:val="00800EA9"/>
    <w:rsid w:val="008036D7"/>
    <w:rsid w:val="00804D2D"/>
    <w:rsid w:val="00806566"/>
    <w:rsid w:val="00807EFC"/>
    <w:rsid w:val="00810084"/>
    <w:rsid w:val="00811831"/>
    <w:rsid w:val="008120FD"/>
    <w:rsid w:val="00815CEE"/>
    <w:rsid w:val="00815D0B"/>
    <w:rsid w:val="008165BB"/>
    <w:rsid w:val="008175B2"/>
    <w:rsid w:val="00817D8E"/>
    <w:rsid w:val="00820529"/>
    <w:rsid w:val="00821EDD"/>
    <w:rsid w:val="00827082"/>
    <w:rsid w:val="00832014"/>
    <w:rsid w:val="00836C5C"/>
    <w:rsid w:val="008442CE"/>
    <w:rsid w:val="008445AE"/>
    <w:rsid w:val="00844F12"/>
    <w:rsid w:val="00852E16"/>
    <w:rsid w:val="00857DE1"/>
    <w:rsid w:val="008647D1"/>
    <w:rsid w:val="00865165"/>
    <w:rsid w:val="00865411"/>
    <w:rsid w:val="0087308F"/>
    <w:rsid w:val="00874728"/>
    <w:rsid w:val="0087506E"/>
    <w:rsid w:val="008751D9"/>
    <w:rsid w:val="008761A0"/>
    <w:rsid w:val="00881C9C"/>
    <w:rsid w:val="0088224E"/>
    <w:rsid w:val="0088732D"/>
    <w:rsid w:val="00896EAD"/>
    <w:rsid w:val="008A0307"/>
    <w:rsid w:val="008A3FB8"/>
    <w:rsid w:val="008A5D7F"/>
    <w:rsid w:val="008B0625"/>
    <w:rsid w:val="008B2FAD"/>
    <w:rsid w:val="008B30C9"/>
    <w:rsid w:val="008B5A92"/>
    <w:rsid w:val="008B7176"/>
    <w:rsid w:val="008C00FD"/>
    <w:rsid w:val="008C2780"/>
    <w:rsid w:val="008C2EA2"/>
    <w:rsid w:val="008C73D6"/>
    <w:rsid w:val="008C7A2F"/>
    <w:rsid w:val="008E2ADB"/>
    <w:rsid w:val="008E40B7"/>
    <w:rsid w:val="008E6775"/>
    <w:rsid w:val="008E78EB"/>
    <w:rsid w:val="008F6815"/>
    <w:rsid w:val="00901C37"/>
    <w:rsid w:val="00902FDE"/>
    <w:rsid w:val="009058D0"/>
    <w:rsid w:val="00907660"/>
    <w:rsid w:val="00913AD5"/>
    <w:rsid w:val="00914565"/>
    <w:rsid w:val="00915224"/>
    <w:rsid w:val="00926286"/>
    <w:rsid w:val="00926B45"/>
    <w:rsid w:val="00934CE3"/>
    <w:rsid w:val="00942F02"/>
    <w:rsid w:val="00943029"/>
    <w:rsid w:val="00944AFA"/>
    <w:rsid w:val="00950A8A"/>
    <w:rsid w:val="0095205A"/>
    <w:rsid w:val="00953438"/>
    <w:rsid w:val="00956098"/>
    <w:rsid w:val="009606B3"/>
    <w:rsid w:val="0096241A"/>
    <w:rsid w:val="009627C2"/>
    <w:rsid w:val="00963CFD"/>
    <w:rsid w:val="00966EAD"/>
    <w:rsid w:val="00973D1A"/>
    <w:rsid w:val="0097536C"/>
    <w:rsid w:val="0098143F"/>
    <w:rsid w:val="00981D0A"/>
    <w:rsid w:val="00982549"/>
    <w:rsid w:val="009848DF"/>
    <w:rsid w:val="00986F71"/>
    <w:rsid w:val="00990B51"/>
    <w:rsid w:val="0099278C"/>
    <w:rsid w:val="00996A17"/>
    <w:rsid w:val="009A2DAC"/>
    <w:rsid w:val="009A3F4E"/>
    <w:rsid w:val="009A5596"/>
    <w:rsid w:val="009A7AA1"/>
    <w:rsid w:val="009B2860"/>
    <w:rsid w:val="009B38B1"/>
    <w:rsid w:val="009B4265"/>
    <w:rsid w:val="009B7AC7"/>
    <w:rsid w:val="009C0615"/>
    <w:rsid w:val="009C3354"/>
    <w:rsid w:val="009C3E29"/>
    <w:rsid w:val="009C5C1A"/>
    <w:rsid w:val="009C7A81"/>
    <w:rsid w:val="009C7C0D"/>
    <w:rsid w:val="009D4B99"/>
    <w:rsid w:val="009D7ECE"/>
    <w:rsid w:val="009E0D78"/>
    <w:rsid w:val="009E5D05"/>
    <w:rsid w:val="009F0492"/>
    <w:rsid w:val="009F248B"/>
    <w:rsid w:val="009F5AC9"/>
    <w:rsid w:val="009F6412"/>
    <w:rsid w:val="00A022B9"/>
    <w:rsid w:val="00A0382D"/>
    <w:rsid w:val="00A05791"/>
    <w:rsid w:val="00A05F58"/>
    <w:rsid w:val="00A13AE4"/>
    <w:rsid w:val="00A329EF"/>
    <w:rsid w:val="00A34FD5"/>
    <w:rsid w:val="00A36083"/>
    <w:rsid w:val="00A36A80"/>
    <w:rsid w:val="00A37B6F"/>
    <w:rsid w:val="00A43CD6"/>
    <w:rsid w:val="00A44621"/>
    <w:rsid w:val="00A47C6A"/>
    <w:rsid w:val="00A47CA0"/>
    <w:rsid w:val="00A566FE"/>
    <w:rsid w:val="00A57CC2"/>
    <w:rsid w:val="00A6251D"/>
    <w:rsid w:val="00A654D7"/>
    <w:rsid w:val="00A65971"/>
    <w:rsid w:val="00A66750"/>
    <w:rsid w:val="00A70182"/>
    <w:rsid w:val="00A70BA7"/>
    <w:rsid w:val="00A72A13"/>
    <w:rsid w:val="00A744EC"/>
    <w:rsid w:val="00A7495A"/>
    <w:rsid w:val="00A76716"/>
    <w:rsid w:val="00A836B4"/>
    <w:rsid w:val="00A839F4"/>
    <w:rsid w:val="00A85837"/>
    <w:rsid w:val="00A926CE"/>
    <w:rsid w:val="00A9371D"/>
    <w:rsid w:val="00A97894"/>
    <w:rsid w:val="00A97FDD"/>
    <w:rsid w:val="00AA0FB7"/>
    <w:rsid w:val="00AA5D20"/>
    <w:rsid w:val="00AA75DD"/>
    <w:rsid w:val="00AB37B1"/>
    <w:rsid w:val="00AB4AFF"/>
    <w:rsid w:val="00AB4FFD"/>
    <w:rsid w:val="00AC2164"/>
    <w:rsid w:val="00AC2B0C"/>
    <w:rsid w:val="00AC4815"/>
    <w:rsid w:val="00AC4FA2"/>
    <w:rsid w:val="00AC6DD0"/>
    <w:rsid w:val="00AD0C4B"/>
    <w:rsid w:val="00AD3A74"/>
    <w:rsid w:val="00AD56DB"/>
    <w:rsid w:val="00AD7A50"/>
    <w:rsid w:val="00AE23D3"/>
    <w:rsid w:val="00AE45E6"/>
    <w:rsid w:val="00AF00AF"/>
    <w:rsid w:val="00AF5368"/>
    <w:rsid w:val="00AF5E1D"/>
    <w:rsid w:val="00AF7171"/>
    <w:rsid w:val="00AF71D3"/>
    <w:rsid w:val="00B03E66"/>
    <w:rsid w:val="00B10F99"/>
    <w:rsid w:val="00B11E2E"/>
    <w:rsid w:val="00B1396D"/>
    <w:rsid w:val="00B179EC"/>
    <w:rsid w:val="00B17D06"/>
    <w:rsid w:val="00B212CE"/>
    <w:rsid w:val="00B229DE"/>
    <w:rsid w:val="00B24C81"/>
    <w:rsid w:val="00B24EC6"/>
    <w:rsid w:val="00B258AA"/>
    <w:rsid w:val="00B33ABA"/>
    <w:rsid w:val="00B36BB2"/>
    <w:rsid w:val="00B401FB"/>
    <w:rsid w:val="00B430BE"/>
    <w:rsid w:val="00B51E12"/>
    <w:rsid w:val="00B57DCE"/>
    <w:rsid w:val="00B6483D"/>
    <w:rsid w:val="00B65E8C"/>
    <w:rsid w:val="00B718ED"/>
    <w:rsid w:val="00B74F06"/>
    <w:rsid w:val="00B75CAD"/>
    <w:rsid w:val="00B761E4"/>
    <w:rsid w:val="00B77436"/>
    <w:rsid w:val="00B80105"/>
    <w:rsid w:val="00B82557"/>
    <w:rsid w:val="00B83B9D"/>
    <w:rsid w:val="00B83BF2"/>
    <w:rsid w:val="00B8540B"/>
    <w:rsid w:val="00B9099F"/>
    <w:rsid w:val="00B94319"/>
    <w:rsid w:val="00B97B3B"/>
    <w:rsid w:val="00BA1DE4"/>
    <w:rsid w:val="00BA2203"/>
    <w:rsid w:val="00BA2D04"/>
    <w:rsid w:val="00BA3E16"/>
    <w:rsid w:val="00BA4F3D"/>
    <w:rsid w:val="00BA5EC8"/>
    <w:rsid w:val="00BB0B2C"/>
    <w:rsid w:val="00BB2EB5"/>
    <w:rsid w:val="00BB3D88"/>
    <w:rsid w:val="00BB4008"/>
    <w:rsid w:val="00BC2190"/>
    <w:rsid w:val="00BC265C"/>
    <w:rsid w:val="00BC3C07"/>
    <w:rsid w:val="00BD39F4"/>
    <w:rsid w:val="00BD4C82"/>
    <w:rsid w:val="00BE1C07"/>
    <w:rsid w:val="00BE325A"/>
    <w:rsid w:val="00BF3F76"/>
    <w:rsid w:val="00C01693"/>
    <w:rsid w:val="00C020AF"/>
    <w:rsid w:val="00C0395D"/>
    <w:rsid w:val="00C03A42"/>
    <w:rsid w:val="00C0423C"/>
    <w:rsid w:val="00C10AAC"/>
    <w:rsid w:val="00C12F15"/>
    <w:rsid w:val="00C142B1"/>
    <w:rsid w:val="00C20CA8"/>
    <w:rsid w:val="00C20E26"/>
    <w:rsid w:val="00C22DBE"/>
    <w:rsid w:val="00C276A2"/>
    <w:rsid w:val="00C31305"/>
    <w:rsid w:val="00C32B9A"/>
    <w:rsid w:val="00C32E28"/>
    <w:rsid w:val="00C3332E"/>
    <w:rsid w:val="00C334D1"/>
    <w:rsid w:val="00C36BE7"/>
    <w:rsid w:val="00C37A7B"/>
    <w:rsid w:val="00C43064"/>
    <w:rsid w:val="00C46A08"/>
    <w:rsid w:val="00C47D9E"/>
    <w:rsid w:val="00C51797"/>
    <w:rsid w:val="00C541A9"/>
    <w:rsid w:val="00C54674"/>
    <w:rsid w:val="00C54A4A"/>
    <w:rsid w:val="00C55945"/>
    <w:rsid w:val="00C563B0"/>
    <w:rsid w:val="00C56A9B"/>
    <w:rsid w:val="00C572C4"/>
    <w:rsid w:val="00C65605"/>
    <w:rsid w:val="00C6685D"/>
    <w:rsid w:val="00C70370"/>
    <w:rsid w:val="00C70B40"/>
    <w:rsid w:val="00C72D32"/>
    <w:rsid w:val="00C769E0"/>
    <w:rsid w:val="00C86CA5"/>
    <w:rsid w:val="00C8709C"/>
    <w:rsid w:val="00CA637D"/>
    <w:rsid w:val="00CA669B"/>
    <w:rsid w:val="00CA6D9C"/>
    <w:rsid w:val="00CA76CA"/>
    <w:rsid w:val="00CB2890"/>
    <w:rsid w:val="00CB47E0"/>
    <w:rsid w:val="00CB6457"/>
    <w:rsid w:val="00CB6D39"/>
    <w:rsid w:val="00CC0170"/>
    <w:rsid w:val="00CC59C1"/>
    <w:rsid w:val="00CC74DC"/>
    <w:rsid w:val="00CD3A6C"/>
    <w:rsid w:val="00CE6524"/>
    <w:rsid w:val="00CE6B13"/>
    <w:rsid w:val="00CF0493"/>
    <w:rsid w:val="00CF11FD"/>
    <w:rsid w:val="00CF7230"/>
    <w:rsid w:val="00D02D35"/>
    <w:rsid w:val="00D03B46"/>
    <w:rsid w:val="00D210D7"/>
    <w:rsid w:val="00D23393"/>
    <w:rsid w:val="00D27BCA"/>
    <w:rsid w:val="00D33A0E"/>
    <w:rsid w:val="00D34898"/>
    <w:rsid w:val="00D37BAF"/>
    <w:rsid w:val="00D41094"/>
    <w:rsid w:val="00D42439"/>
    <w:rsid w:val="00D4672B"/>
    <w:rsid w:val="00D47B0A"/>
    <w:rsid w:val="00D51763"/>
    <w:rsid w:val="00D534DF"/>
    <w:rsid w:val="00D53A05"/>
    <w:rsid w:val="00D613CB"/>
    <w:rsid w:val="00D65EB0"/>
    <w:rsid w:val="00D718F8"/>
    <w:rsid w:val="00D71C09"/>
    <w:rsid w:val="00D76FA2"/>
    <w:rsid w:val="00D774B6"/>
    <w:rsid w:val="00D86264"/>
    <w:rsid w:val="00D912A5"/>
    <w:rsid w:val="00D9135C"/>
    <w:rsid w:val="00D95BCE"/>
    <w:rsid w:val="00D9794C"/>
    <w:rsid w:val="00DA07E0"/>
    <w:rsid w:val="00DA12F2"/>
    <w:rsid w:val="00DA6502"/>
    <w:rsid w:val="00DB7F92"/>
    <w:rsid w:val="00DC5A57"/>
    <w:rsid w:val="00DD0981"/>
    <w:rsid w:val="00DD0F92"/>
    <w:rsid w:val="00DD5CA9"/>
    <w:rsid w:val="00DD6F21"/>
    <w:rsid w:val="00DD7B6A"/>
    <w:rsid w:val="00DE266F"/>
    <w:rsid w:val="00DE4790"/>
    <w:rsid w:val="00DE4F3C"/>
    <w:rsid w:val="00DE59DF"/>
    <w:rsid w:val="00DF05CB"/>
    <w:rsid w:val="00DF240E"/>
    <w:rsid w:val="00DF4D29"/>
    <w:rsid w:val="00DF6119"/>
    <w:rsid w:val="00E00A92"/>
    <w:rsid w:val="00E00EAB"/>
    <w:rsid w:val="00E026F1"/>
    <w:rsid w:val="00E058B1"/>
    <w:rsid w:val="00E10692"/>
    <w:rsid w:val="00E111B6"/>
    <w:rsid w:val="00E14628"/>
    <w:rsid w:val="00E15028"/>
    <w:rsid w:val="00E15E67"/>
    <w:rsid w:val="00E2010C"/>
    <w:rsid w:val="00E21B5E"/>
    <w:rsid w:val="00E2269A"/>
    <w:rsid w:val="00E255C8"/>
    <w:rsid w:val="00E27D3B"/>
    <w:rsid w:val="00E30E3E"/>
    <w:rsid w:val="00E319A8"/>
    <w:rsid w:val="00E324E3"/>
    <w:rsid w:val="00E35F1F"/>
    <w:rsid w:val="00E40368"/>
    <w:rsid w:val="00E4268B"/>
    <w:rsid w:val="00E42DEF"/>
    <w:rsid w:val="00E438FA"/>
    <w:rsid w:val="00E4413B"/>
    <w:rsid w:val="00E44E11"/>
    <w:rsid w:val="00E508CB"/>
    <w:rsid w:val="00E535D9"/>
    <w:rsid w:val="00E55115"/>
    <w:rsid w:val="00E562E9"/>
    <w:rsid w:val="00E566A8"/>
    <w:rsid w:val="00E56795"/>
    <w:rsid w:val="00E60742"/>
    <w:rsid w:val="00E6303E"/>
    <w:rsid w:val="00E71D96"/>
    <w:rsid w:val="00E745B9"/>
    <w:rsid w:val="00E80BDE"/>
    <w:rsid w:val="00E80CF1"/>
    <w:rsid w:val="00E85A59"/>
    <w:rsid w:val="00E95500"/>
    <w:rsid w:val="00EA0EA6"/>
    <w:rsid w:val="00EA3144"/>
    <w:rsid w:val="00EA3968"/>
    <w:rsid w:val="00EA4545"/>
    <w:rsid w:val="00EA542C"/>
    <w:rsid w:val="00EA6661"/>
    <w:rsid w:val="00EB0D83"/>
    <w:rsid w:val="00EB230A"/>
    <w:rsid w:val="00EC14DD"/>
    <w:rsid w:val="00EC2A11"/>
    <w:rsid w:val="00EC36EF"/>
    <w:rsid w:val="00EC3FCA"/>
    <w:rsid w:val="00EC6515"/>
    <w:rsid w:val="00ED18CB"/>
    <w:rsid w:val="00ED6C00"/>
    <w:rsid w:val="00EE23CA"/>
    <w:rsid w:val="00EE272E"/>
    <w:rsid w:val="00EE30F0"/>
    <w:rsid w:val="00EE40F7"/>
    <w:rsid w:val="00EE543C"/>
    <w:rsid w:val="00EF0F9F"/>
    <w:rsid w:val="00EF1F54"/>
    <w:rsid w:val="00EF4447"/>
    <w:rsid w:val="00EF51FE"/>
    <w:rsid w:val="00EF645F"/>
    <w:rsid w:val="00F06007"/>
    <w:rsid w:val="00F067EF"/>
    <w:rsid w:val="00F06B21"/>
    <w:rsid w:val="00F10463"/>
    <w:rsid w:val="00F11ED6"/>
    <w:rsid w:val="00F14702"/>
    <w:rsid w:val="00F237C2"/>
    <w:rsid w:val="00F26852"/>
    <w:rsid w:val="00F343E9"/>
    <w:rsid w:val="00F344D5"/>
    <w:rsid w:val="00F413A2"/>
    <w:rsid w:val="00F46E6A"/>
    <w:rsid w:val="00F5220F"/>
    <w:rsid w:val="00F525B8"/>
    <w:rsid w:val="00F57D5F"/>
    <w:rsid w:val="00F64422"/>
    <w:rsid w:val="00F740CE"/>
    <w:rsid w:val="00F74A4C"/>
    <w:rsid w:val="00F766D0"/>
    <w:rsid w:val="00F77DD0"/>
    <w:rsid w:val="00F832D1"/>
    <w:rsid w:val="00F844E9"/>
    <w:rsid w:val="00F84B99"/>
    <w:rsid w:val="00F8609F"/>
    <w:rsid w:val="00FA240A"/>
    <w:rsid w:val="00FA47DA"/>
    <w:rsid w:val="00FA4824"/>
    <w:rsid w:val="00FA4922"/>
    <w:rsid w:val="00FA4BC9"/>
    <w:rsid w:val="00FA4C6D"/>
    <w:rsid w:val="00FB1D70"/>
    <w:rsid w:val="00FB2024"/>
    <w:rsid w:val="00FC3737"/>
    <w:rsid w:val="00FC413F"/>
    <w:rsid w:val="00FD01E9"/>
    <w:rsid w:val="00FD082E"/>
    <w:rsid w:val="00FD0FB5"/>
    <w:rsid w:val="00FD1869"/>
    <w:rsid w:val="00FD52EC"/>
    <w:rsid w:val="00FD53F7"/>
    <w:rsid w:val="00FE090E"/>
    <w:rsid w:val="00FE1BB9"/>
    <w:rsid w:val="00FE3B2D"/>
    <w:rsid w:val="00FE5384"/>
    <w:rsid w:val="00FF4F90"/>
    <w:rsid w:val="00FF5ED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73C7A5F-767C-4381-834D-57830434E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after="4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62AF"/>
    <w:rPr>
      <w:rFonts w:ascii="Arial" w:eastAsia="Arial" w:hAnsi="Arial" w:cs="Arial"/>
      <w:color w:val="000000"/>
      <w:lang w:eastAsia="es-CO"/>
    </w:rPr>
  </w:style>
  <w:style w:type="paragraph" w:styleId="Ttulo1">
    <w:name w:val="heading 1"/>
    <w:basedOn w:val="Normal"/>
    <w:next w:val="Normal"/>
    <w:link w:val="Ttulo1Car"/>
    <w:qFormat/>
    <w:rsid w:val="003A5822"/>
    <w:pPr>
      <w:keepNext/>
      <w:overflowPunct w:val="0"/>
      <w:autoSpaceDE w:val="0"/>
      <w:autoSpaceDN w:val="0"/>
      <w:adjustRightInd w:val="0"/>
      <w:spacing w:before="240" w:after="60"/>
      <w:textAlignment w:val="baseline"/>
      <w:outlineLvl w:val="0"/>
    </w:pPr>
    <w:rPr>
      <w:rFonts w:ascii="Cambria" w:eastAsia="Times New Roman" w:hAnsi="Cambria" w:cs="Times New Roman"/>
      <w:b/>
      <w:bCs/>
      <w:color w:val="auto"/>
      <w:kern w:val="32"/>
      <w:sz w:val="32"/>
      <w:szCs w:val="32"/>
      <w:lang w:val="es-ES" w:eastAsia="es-ES"/>
    </w:rPr>
  </w:style>
  <w:style w:type="paragraph" w:styleId="Ttulo2">
    <w:name w:val="heading 2"/>
    <w:basedOn w:val="Normal"/>
    <w:link w:val="Ttulo2Car"/>
    <w:qFormat/>
    <w:rsid w:val="003A5822"/>
    <w:pPr>
      <w:overflowPunct w:val="0"/>
      <w:autoSpaceDE w:val="0"/>
      <w:autoSpaceDN w:val="0"/>
      <w:adjustRightInd w:val="0"/>
      <w:spacing w:after="100"/>
      <w:textAlignment w:val="baseline"/>
      <w:outlineLvl w:val="1"/>
    </w:pPr>
    <w:rPr>
      <w:rFonts w:ascii="Times New Roman" w:eastAsia="Times New Roman" w:hAnsi="Times New Roman" w:cs="Times New Roman"/>
      <w:b/>
      <w:color w:val="auto"/>
      <w:sz w:val="36"/>
      <w:szCs w:val="20"/>
      <w:lang w:val="es-ES" w:eastAsia="es-ES"/>
    </w:rPr>
  </w:style>
  <w:style w:type="paragraph" w:styleId="Ttulo3">
    <w:name w:val="heading 3"/>
    <w:basedOn w:val="Normal"/>
    <w:link w:val="Ttulo3Car"/>
    <w:qFormat/>
    <w:rsid w:val="003A5822"/>
    <w:pPr>
      <w:overflowPunct w:val="0"/>
      <w:autoSpaceDE w:val="0"/>
      <w:autoSpaceDN w:val="0"/>
      <w:adjustRightInd w:val="0"/>
      <w:spacing w:after="100"/>
      <w:textAlignment w:val="baseline"/>
      <w:outlineLvl w:val="2"/>
    </w:pPr>
    <w:rPr>
      <w:rFonts w:ascii="Times New Roman" w:eastAsia="Times New Roman" w:hAnsi="Times New Roman" w:cs="Times New Roman"/>
      <w:b/>
      <w:color w:val="auto"/>
      <w:sz w:val="27"/>
      <w:szCs w:val="20"/>
      <w:lang w:val="es-ES" w:eastAsia="es-ES"/>
    </w:rPr>
  </w:style>
  <w:style w:type="paragraph" w:styleId="Ttulo4">
    <w:name w:val="heading 4"/>
    <w:basedOn w:val="Normal"/>
    <w:next w:val="Normal"/>
    <w:link w:val="Ttulo4Car"/>
    <w:qFormat/>
    <w:rsid w:val="00524E1D"/>
    <w:pPr>
      <w:keepNext/>
      <w:overflowPunct w:val="0"/>
      <w:autoSpaceDE w:val="0"/>
      <w:autoSpaceDN w:val="0"/>
      <w:adjustRightInd w:val="0"/>
      <w:spacing w:before="240" w:after="60"/>
      <w:textAlignment w:val="baseline"/>
      <w:outlineLvl w:val="3"/>
    </w:pPr>
    <w:rPr>
      <w:rFonts w:ascii="Times New Roman" w:eastAsia="Times New Roman" w:hAnsi="Times New Roman" w:cs="Times New Roman"/>
      <w:b/>
      <w:color w:val="auto"/>
      <w:sz w:val="28"/>
      <w:szCs w:val="20"/>
      <w:lang w:val="es-ES" w:eastAsia="es-ES"/>
    </w:rPr>
  </w:style>
  <w:style w:type="paragraph" w:styleId="Ttulo5">
    <w:name w:val="heading 5"/>
    <w:basedOn w:val="Normal"/>
    <w:next w:val="Normal"/>
    <w:link w:val="Ttulo5Car"/>
    <w:unhideWhenUsed/>
    <w:qFormat/>
    <w:rsid w:val="003A5822"/>
    <w:pPr>
      <w:overflowPunct w:val="0"/>
      <w:autoSpaceDE w:val="0"/>
      <w:autoSpaceDN w:val="0"/>
      <w:adjustRightInd w:val="0"/>
      <w:spacing w:before="240" w:after="60"/>
      <w:textAlignment w:val="baseline"/>
      <w:outlineLvl w:val="4"/>
    </w:pPr>
    <w:rPr>
      <w:rFonts w:ascii="Calibri" w:eastAsia="Times New Roman" w:hAnsi="Calibri" w:cs="Times New Roman"/>
      <w:b/>
      <w:bCs/>
      <w:i/>
      <w:iCs/>
      <w:color w:val="auto"/>
      <w:sz w:val="26"/>
      <w:szCs w:val="26"/>
      <w:lang w:val="es-ES" w:eastAsia="es-ES"/>
    </w:rPr>
  </w:style>
  <w:style w:type="paragraph" w:styleId="Ttulo6">
    <w:name w:val="heading 6"/>
    <w:basedOn w:val="Normal"/>
    <w:next w:val="Normal"/>
    <w:link w:val="Ttulo6Car"/>
    <w:unhideWhenUsed/>
    <w:qFormat/>
    <w:rsid w:val="003A5822"/>
    <w:pPr>
      <w:overflowPunct w:val="0"/>
      <w:autoSpaceDE w:val="0"/>
      <w:autoSpaceDN w:val="0"/>
      <w:adjustRightInd w:val="0"/>
      <w:spacing w:before="240" w:after="60"/>
      <w:textAlignment w:val="baseline"/>
      <w:outlineLvl w:val="5"/>
    </w:pPr>
    <w:rPr>
      <w:rFonts w:ascii="Calibri" w:eastAsia="Times New Roman" w:hAnsi="Calibri" w:cs="Times New Roman"/>
      <w:b/>
      <w:bCs/>
      <w:color w:val="auto"/>
      <w:lang w:val="es-ES" w:eastAsia="es-ES"/>
    </w:rPr>
  </w:style>
  <w:style w:type="paragraph" w:styleId="Ttulo8">
    <w:name w:val="heading 8"/>
    <w:basedOn w:val="Normal"/>
    <w:next w:val="Normal"/>
    <w:link w:val="Ttulo8Car"/>
    <w:qFormat/>
    <w:rsid w:val="00524E1D"/>
    <w:pPr>
      <w:overflowPunct w:val="0"/>
      <w:autoSpaceDE w:val="0"/>
      <w:autoSpaceDN w:val="0"/>
      <w:adjustRightInd w:val="0"/>
      <w:spacing w:before="240" w:after="60"/>
      <w:textAlignment w:val="baseline"/>
      <w:outlineLvl w:val="7"/>
    </w:pPr>
    <w:rPr>
      <w:rFonts w:ascii="Times New Roman" w:eastAsia="Times New Roman" w:hAnsi="Times New Roman" w:cs="Times New Roman"/>
      <w:i/>
      <w:color w:val="auto"/>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nhideWhenUsed/>
    <w:rsid w:val="00650A99"/>
    <w:rPr>
      <w:rFonts w:ascii="Tahoma" w:hAnsi="Tahoma" w:cs="Tahoma"/>
      <w:sz w:val="16"/>
      <w:szCs w:val="16"/>
    </w:rPr>
  </w:style>
  <w:style w:type="character" w:customStyle="1" w:styleId="TextodegloboCar">
    <w:name w:val="Texto de globo Car"/>
    <w:basedOn w:val="Fuentedeprrafopredeter"/>
    <w:link w:val="Textodeglobo"/>
    <w:rsid w:val="00650A99"/>
    <w:rPr>
      <w:rFonts w:ascii="Tahoma" w:hAnsi="Tahoma" w:cs="Tahoma"/>
      <w:sz w:val="16"/>
      <w:szCs w:val="16"/>
    </w:rPr>
  </w:style>
  <w:style w:type="paragraph" w:styleId="Encabezado">
    <w:name w:val="header"/>
    <w:basedOn w:val="Normal"/>
    <w:link w:val="EncabezadoCar"/>
    <w:unhideWhenUsed/>
    <w:rsid w:val="00650A99"/>
    <w:pPr>
      <w:tabs>
        <w:tab w:val="center" w:pos="4419"/>
        <w:tab w:val="right" w:pos="8838"/>
      </w:tabs>
    </w:pPr>
  </w:style>
  <w:style w:type="character" w:customStyle="1" w:styleId="EncabezadoCar">
    <w:name w:val="Encabezado Car"/>
    <w:basedOn w:val="Fuentedeprrafopredeter"/>
    <w:link w:val="Encabezado"/>
    <w:rsid w:val="00650A99"/>
  </w:style>
  <w:style w:type="paragraph" w:styleId="Piedepgina">
    <w:name w:val="footer"/>
    <w:basedOn w:val="Normal"/>
    <w:link w:val="PiedepginaCar"/>
    <w:unhideWhenUsed/>
    <w:rsid w:val="00650A99"/>
    <w:pPr>
      <w:tabs>
        <w:tab w:val="center" w:pos="4419"/>
        <w:tab w:val="right" w:pos="8838"/>
      </w:tabs>
    </w:pPr>
  </w:style>
  <w:style w:type="character" w:customStyle="1" w:styleId="PiedepginaCar">
    <w:name w:val="Pie de página Car"/>
    <w:basedOn w:val="Fuentedeprrafopredeter"/>
    <w:link w:val="Piedepgina"/>
    <w:rsid w:val="00650A99"/>
  </w:style>
  <w:style w:type="character" w:styleId="Hipervnculo">
    <w:name w:val="Hyperlink"/>
    <w:basedOn w:val="Fuentedeprrafopredeter"/>
    <w:uiPriority w:val="99"/>
    <w:unhideWhenUsed/>
    <w:rsid w:val="00650A99"/>
    <w:rPr>
      <w:color w:val="0000FF" w:themeColor="hyperlink"/>
      <w:u w:val="single"/>
    </w:rPr>
  </w:style>
  <w:style w:type="paragraph" w:styleId="NormalWeb">
    <w:name w:val="Normal (Web)"/>
    <w:basedOn w:val="Normal"/>
    <w:unhideWhenUsed/>
    <w:rsid w:val="00670D69"/>
    <w:pPr>
      <w:spacing w:beforeAutospacing="1" w:after="100" w:afterAutospacing="1"/>
    </w:pPr>
    <w:rPr>
      <w:rFonts w:ascii="Times New Roman" w:eastAsia="Times New Roman" w:hAnsi="Times New Roman" w:cs="Times New Roman"/>
      <w:sz w:val="24"/>
      <w:szCs w:val="24"/>
    </w:rPr>
  </w:style>
  <w:style w:type="table" w:styleId="Tablaconcuadrcula">
    <w:name w:val="Table Grid"/>
    <w:basedOn w:val="Tablanormal"/>
    <w:rsid w:val="00AE45E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oindependienteCar">
    <w:name w:val="Texto independiente Car"/>
    <w:aliases w:val="body text Car,bt Car,contents Car,body tesx Car1,body tesx Car Car"/>
    <w:basedOn w:val="Fuentedeprrafopredeter"/>
    <w:link w:val="Textoindependiente"/>
    <w:locked/>
    <w:rsid w:val="006A5FCB"/>
    <w:rPr>
      <w:rFonts w:ascii="Tahoma" w:hAnsi="Tahoma" w:cs="Tahoma"/>
      <w:sz w:val="24"/>
      <w:szCs w:val="24"/>
      <w:lang w:val="es-ES" w:eastAsia="es-ES"/>
    </w:rPr>
  </w:style>
  <w:style w:type="paragraph" w:styleId="Textoindependiente">
    <w:name w:val="Body Text"/>
    <w:aliases w:val="body text,bt,contents,body tesx,body tesx Car"/>
    <w:basedOn w:val="Normal"/>
    <w:link w:val="TextoindependienteCar"/>
    <w:unhideWhenUsed/>
    <w:rsid w:val="006A5FCB"/>
    <w:pPr>
      <w:jc w:val="both"/>
    </w:pPr>
    <w:rPr>
      <w:rFonts w:ascii="Tahoma" w:hAnsi="Tahoma" w:cs="Tahoma"/>
      <w:sz w:val="24"/>
      <w:szCs w:val="24"/>
      <w:lang w:val="es-ES" w:eastAsia="es-ES"/>
    </w:rPr>
  </w:style>
  <w:style w:type="character" w:customStyle="1" w:styleId="TextoindependienteCar1">
    <w:name w:val="Texto independiente Car1"/>
    <w:basedOn w:val="Fuentedeprrafopredeter"/>
    <w:uiPriority w:val="99"/>
    <w:semiHidden/>
    <w:rsid w:val="006A5FCB"/>
  </w:style>
  <w:style w:type="paragraph" w:styleId="Prrafodelista">
    <w:name w:val="List Paragraph"/>
    <w:basedOn w:val="Normal"/>
    <w:uiPriority w:val="34"/>
    <w:qFormat/>
    <w:rsid w:val="006A5FCB"/>
    <w:pPr>
      <w:ind w:left="720"/>
      <w:contextualSpacing/>
    </w:pPr>
  </w:style>
  <w:style w:type="paragraph" w:styleId="Sinespaciado">
    <w:name w:val="No Spacing"/>
    <w:uiPriority w:val="1"/>
    <w:qFormat/>
    <w:rsid w:val="005E5E78"/>
    <w:pPr>
      <w:spacing w:after="0"/>
    </w:pPr>
    <w:rPr>
      <w:rFonts w:ascii="Arial" w:eastAsia="Arial" w:hAnsi="Arial" w:cs="Arial"/>
      <w:color w:val="000000"/>
      <w:lang w:eastAsia="es-CO"/>
    </w:rPr>
  </w:style>
  <w:style w:type="paragraph" w:styleId="Textoindependiente2">
    <w:name w:val="Body Text 2"/>
    <w:basedOn w:val="Normal"/>
    <w:link w:val="Textoindependiente2Car"/>
    <w:uiPriority w:val="99"/>
    <w:semiHidden/>
    <w:unhideWhenUsed/>
    <w:rsid w:val="003A5822"/>
    <w:pPr>
      <w:spacing w:after="120" w:line="480" w:lineRule="auto"/>
    </w:pPr>
  </w:style>
  <w:style w:type="character" w:customStyle="1" w:styleId="Textoindependiente2Car">
    <w:name w:val="Texto independiente 2 Car"/>
    <w:basedOn w:val="Fuentedeprrafopredeter"/>
    <w:link w:val="Textoindependiente2"/>
    <w:uiPriority w:val="99"/>
    <w:semiHidden/>
    <w:rsid w:val="003A5822"/>
    <w:rPr>
      <w:rFonts w:ascii="Arial" w:eastAsia="Arial" w:hAnsi="Arial" w:cs="Arial"/>
      <w:color w:val="000000"/>
      <w:lang w:eastAsia="es-CO"/>
    </w:rPr>
  </w:style>
  <w:style w:type="paragraph" w:styleId="Textoindependiente3">
    <w:name w:val="Body Text 3"/>
    <w:basedOn w:val="Normal"/>
    <w:link w:val="Textoindependiente3Car"/>
    <w:uiPriority w:val="99"/>
    <w:semiHidden/>
    <w:unhideWhenUsed/>
    <w:rsid w:val="003A5822"/>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3A5822"/>
    <w:rPr>
      <w:rFonts w:ascii="Arial" w:eastAsia="Arial" w:hAnsi="Arial" w:cs="Arial"/>
      <w:color w:val="000000"/>
      <w:sz w:val="16"/>
      <w:szCs w:val="16"/>
      <w:lang w:eastAsia="es-CO"/>
    </w:rPr>
  </w:style>
  <w:style w:type="character" w:customStyle="1" w:styleId="Ttulo1Car">
    <w:name w:val="Título 1 Car"/>
    <w:basedOn w:val="Fuentedeprrafopredeter"/>
    <w:link w:val="Ttulo1"/>
    <w:rsid w:val="003A5822"/>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rsid w:val="003A5822"/>
    <w:rPr>
      <w:rFonts w:ascii="Times New Roman" w:eastAsia="Times New Roman" w:hAnsi="Times New Roman" w:cs="Times New Roman"/>
      <w:b/>
      <w:sz w:val="36"/>
      <w:szCs w:val="20"/>
      <w:lang w:val="es-ES" w:eastAsia="es-ES"/>
    </w:rPr>
  </w:style>
  <w:style w:type="character" w:customStyle="1" w:styleId="Ttulo3Car">
    <w:name w:val="Título 3 Car"/>
    <w:basedOn w:val="Fuentedeprrafopredeter"/>
    <w:link w:val="Ttulo3"/>
    <w:rsid w:val="003A5822"/>
    <w:rPr>
      <w:rFonts w:ascii="Times New Roman" w:eastAsia="Times New Roman" w:hAnsi="Times New Roman" w:cs="Times New Roman"/>
      <w:b/>
      <w:sz w:val="27"/>
      <w:szCs w:val="20"/>
      <w:lang w:val="es-ES" w:eastAsia="es-ES"/>
    </w:rPr>
  </w:style>
  <w:style w:type="character" w:customStyle="1" w:styleId="Ttulo5Car">
    <w:name w:val="Título 5 Car"/>
    <w:basedOn w:val="Fuentedeprrafopredeter"/>
    <w:link w:val="Ttulo5"/>
    <w:rsid w:val="003A5822"/>
    <w:rPr>
      <w:rFonts w:ascii="Calibri" w:eastAsia="Times New Roman" w:hAnsi="Calibri" w:cs="Times New Roman"/>
      <w:b/>
      <w:bCs/>
      <w:i/>
      <w:iCs/>
      <w:sz w:val="26"/>
      <w:szCs w:val="26"/>
      <w:lang w:val="es-ES" w:eastAsia="es-ES"/>
    </w:rPr>
  </w:style>
  <w:style w:type="character" w:customStyle="1" w:styleId="Ttulo6Car">
    <w:name w:val="Título 6 Car"/>
    <w:basedOn w:val="Fuentedeprrafopredeter"/>
    <w:link w:val="Ttulo6"/>
    <w:rsid w:val="003A5822"/>
    <w:rPr>
      <w:rFonts w:ascii="Calibri" w:eastAsia="Times New Roman" w:hAnsi="Calibri" w:cs="Times New Roman"/>
      <w:b/>
      <w:bCs/>
      <w:lang w:val="es-ES" w:eastAsia="es-ES"/>
    </w:rPr>
  </w:style>
  <w:style w:type="paragraph" w:styleId="Puesto">
    <w:name w:val="Title"/>
    <w:basedOn w:val="Normal"/>
    <w:link w:val="PuestoCar"/>
    <w:qFormat/>
    <w:rsid w:val="003A5822"/>
    <w:pPr>
      <w:jc w:val="center"/>
    </w:pPr>
    <w:rPr>
      <w:rFonts w:ascii="Times New Roman" w:eastAsia="Times New Roman" w:hAnsi="Times New Roman" w:cs="Times New Roman"/>
      <w:b/>
      <w:color w:val="auto"/>
      <w:sz w:val="24"/>
      <w:szCs w:val="20"/>
      <w:lang w:val="es-ES_tradnl" w:eastAsia="es-ES"/>
    </w:rPr>
  </w:style>
  <w:style w:type="character" w:customStyle="1" w:styleId="PuestoCar">
    <w:name w:val="Puesto Car"/>
    <w:basedOn w:val="Fuentedeprrafopredeter"/>
    <w:link w:val="Puesto"/>
    <w:rsid w:val="003A5822"/>
    <w:rPr>
      <w:rFonts w:ascii="Times New Roman" w:eastAsia="Times New Roman" w:hAnsi="Times New Roman" w:cs="Times New Roman"/>
      <w:b/>
      <w:sz w:val="24"/>
      <w:szCs w:val="20"/>
      <w:lang w:val="es-ES_tradnl" w:eastAsia="es-ES"/>
    </w:rPr>
  </w:style>
  <w:style w:type="paragraph" w:customStyle="1" w:styleId="Textosinformato1">
    <w:name w:val="Texto sin formato1"/>
    <w:basedOn w:val="Normal"/>
    <w:rsid w:val="003A5822"/>
    <w:rPr>
      <w:rFonts w:ascii="Courier New" w:eastAsia="Times New Roman" w:hAnsi="Courier New" w:cs="Times New Roman"/>
      <w:color w:val="auto"/>
      <w:sz w:val="20"/>
      <w:szCs w:val="24"/>
      <w:lang w:eastAsia="es-ES"/>
    </w:rPr>
  </w:style>
  <w:style w:type="paragraph" w:customStyle="1" w:styleId="xl53">
    <w:name w:val="xl53"/>
    <w:basedOn w:val="Normal"/>
    <w:rsid w:val="003A5822"/>
    <w:pPr>
      <w:spacing w:beforeAutospacing="1" w:after="100" w:afterAutospacing="1"/>
      <w:jc w:val="center"/>
    </w:pPr>
    <w:rPr>
      <w:rFonts w:eastAsia="Times New Roman"/>
      <w:b/>
      <w:bCs/>
      <w:color w:val="auto"/>
      <w:sz w:val="24"/>
      <w:szCs w:val="24"/>
      <w:lang w:val="es-ES" w:eastAsia="es-ES"/>
    </w:rPr>
  </w:style>
  <w:style w:type="table" w:styleId="Cuadrculaclara-nfasis6">
    <w:name w:val="Light Grid Accent 6"/>
    <w:basedOn w:val="Tablanormal"/>
    <w:uiPriority w:val="62"/>
    <w:rsid w:val="0007281C"/>
    <w:pPr>
      <w:spacing w:before="0" w:after="0"/>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customStyle="1" w:styleId="Default">
    <w:name w:val="Default"/>
    <w:rsid w:val="00697D59"/>
    <w:pPr>
      <w:autoSpaceDE w:val="0"/>
      <w:autoSpaceDN w:val="0"/>
      <w:adjustRightInd w:val="0"/>
      <w:spacing w:before="0" w:after="0"/>
    </w:pPr>
    <w:rPr>
      <w:rFonts w:ascii="Trebuchet MS" w:hAnsi="Trebuchet MS" w:cs="Trebuchet MS"/>
      <w:color w:val="000000"/>
      <w:sz w:val="24"/>
      <w:szCs w:val="24"/>
    </w:rPr>
  </w:style>
  <w:style w:type="character" w:customStyle="1" w:styleId="Ttulo4Car">
    <w:name w:val="Título 4 Car"/>
    <w:basedOn w:val="Fuentedeprrafopredeter"/>
    <w:link w:val="Ttulo4"/>
    <w:rsid w:val="00524E1D"/>
    <w:rPr>
      <w:rFonts w:ascii="Times New Roman" w:eastAsia="Times New Roman" w:hAnsi="Times New Roman" w:cs="Times New Roman"/>
      <w:b/>
      <w:sz w:val="28"/>
      <w:szCs w:val="20"/>
      <w:lang w:val="es-ES" w:eastAsia="es-ES"/>
    </w:rPr>
  </w:style>
  <w:style w:type="character" w:customStyle="1" w:styleId="Ttulo8Car">
    <w:name w:val="Título 8 Car"/>
    <w:basedOn w:val="Fuentedeprrafopredeter"/>
    <w:link w:val="Ttulo8"/>
    <w:rsid w:val="00524E1D"/>
    <w:rPr>
      <w:rFonts w:ascii="Times New Roman" w:eastAsia="Times New Roman" w:hAnsi="Times New Roman" w:cs="Times New Roman"/>
      <w:i/>
      <w:sz w:val="24"/>
      <w:szCs w:val="20"/>
      <w:lang w:val="es-ES" w:eastAsia="es-ES"/>
    </w:rPr>
  </w:style>
  <w:style w:type="paragraph" w:styleId="Sangradetextonormal">
    <w:name w:val="Body Text Indent"/>
    <w:basedOn w:val="Normal"/>
    <w:link w:val="SangradetextonormalCar"/>
    <w:unhideWhenUsed/>
    <w:rsid w:val="00524E1D"/>
    <w:pPr>
      <w:overflowPunct w:val="0"/>
      <w:autoSpaceDE w:val="0"/>
      <w:autoSpaceDN w:val="0"/>
      <w:adjustRightInd w:val="0"/>
      <w:spacing w:before="0" w:after="120"/>
      <w:ind w:left="360"/>
      <w:textAlignment w:val="baseline"/>
    </w:pPr>
    <w:rPr>
      <w:rFonts w:eastAsia="Times New Roman" w:cs="Times New Roman"/>
      <w:color w:val="auto"/>
      <w:sz w:val="24"/>
      <w:szCs w:val="20"/>
      <w:lang w:eastAsia="es-ES"/>
    </w:rPr>
  </w:style>
  <w:style w:type="character" w:customStyle="1" w:styleId="SangradetextonormalCar">
    <w:name w:val="Sangría de texto normal Car"/>
    <w:basedOn w:val="Fuentedeprrafopredeter"/>
    <w:link w:val="Sangradetextonormal"/>
    <w:rsid w:val="00524E1D"/>
    <w:rPr>
      <w:rFonts w:ascii="Arial" w:eastAsia="Times New Roman" w:hAnsi="Arial" w:cs="Times New Roman"/>
      <w:sz w:val="24"/>
      <w:szCs w:val="20"/>
      <w:lang w:eastAsia="es-ES"/>
    </w:rPr>
  </w:style>
  <w:style w:type="character" w:customStyle="1" w:styleId="Hipervnculo1">
    <w:name w:val="Hipervínculo1"/>
    <w:rsid w:val="00524E1D"/>
    <w:rPr>
      <w:color w:val="0000FF"/>
      <w:u w:val="none"/>
    </w:rPr>
  </w:style>
  <w:style w:type="character" w:customStyle="1" w:styleId="mw-headline">
    <w:name w:val="mw-headline"/>
    <w:basedOn w:val="Fuentedeprrafopredeter"/>
    <w:rsid w:val="00524E1D"/>
  </w:style>
  <w:style w:type="character" w:customStyle="1" w:styleId="editsection">
    <w:name w:val="editsection"/>
    <w:basedOn w:val="Fuentedeprrafopredeter"/>
    <w:rsid w:val="00524E1D"/>
  </w:style>
  <w:style w:type="paragraph" w:customStyle="1" w:styleId="Textoindependiente21">
    <w:name w:val="Texto independiente 21"/>
    <w:basedOn w:val="Normal"/>
    <w:rsid w:val="00524E1D"/>
    <w:pPr>
      <w:overflowPunct w:val="0"/>
      <w:autoSpaceDE w:val="0"/>
      <w:autoSpaceDN w:val="0"/>
      <w:adjustRightInd w:val="0"/>
      <w:spacing w:before="0" w:after="0"/>
      <w:jc w:val="both"/>
      <w:textAlignment w:val="baseline"/>
    </w:pPr>
    <w:rPr>
      <w:rFonts w:eastAsia="Times New Roman" w:cs="Times New Roman"/>
      <w:color w:val="auto"/>
      <w:sz w:val="24"/>
      <w:szCs w:val="20"/>
      <w:lang w:eastAsia="es-ES"/>
    </w:rPr>
  </w:style>
  <w:style w:type="paragraph" w:customStyle="1" w:styleId="Textoindependiente31">
    <w:name w:val="Texto independiente 31"/>
    <w:basedOn w:val="Normal"/>
    <w:rsid w:val="00524E1D"/>
    <w:pPr>
      <w:overflowPunct w:val="0"/>
      <w:autoSpaceDE w:val="0"/>
      <w:autoSpaceDN w:val="0"/>
      <w:adjustRightInd w:val="0"/>
      <w:spacing w:before="0" w:after="0"/>
      <w:jc w:val="both"/>
      <w:textAlignment w:val="baseline"/>
    </w:pPr>
    <w:rPr>
      <w:rFonts w:eastAsia="Times New Roman" w:cs="Times New Roman"/>
      <w:b/>
      <w:color w:val="auto"/>
      <w:sz w:val="24"/>
      <w:szCs w:val="20"/>
      <w:lang w:val="es-ES" w:eastAsia="es-ES"/>
    </w:rPr>
  </w:style>
  <w:style w:type="table" w:styleId="Listaclara-nfasis1">
    <w:name w:val="Light List Accent 1"/>
    <w:basedOn w:val="Tablanormal"/>
    <w:uiPriority w:val="61"/>
    <w:rsid w:val="00524E1D"/>
    <w:pPr>
      <w:spacing w:before="0"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Cuadrculaclara-nfasis2">
    <w:name w:val="Light Grid Accent 2"/>
    <w:basedOn w:val="Tablanormal"/>
    <w:uiPriority w:val="62"/>
    <w:rsid w:val="00E566A8"/>
    <w:pPr>
      <w:spacing w:before="0" w:after="0"/>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customStyle="1" w:styleId="apple-converted-space">
    <w:name w:val="apple-converted-space"/>
    <w:basedOn w:val="Fuentedeprrafopredeter"/>
    <w:rsid w:val="005F5D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875691">
      <w:bodyDiv w:val="1"/>
      <w:marLeft w:val="0"/>
      <w:marRight w:val="0"/>
      <w:marTop w:val="0"/>
      <w:marBottom w:val="0"/>
      <w:divBdr>
        <w:top w:val="none" w:sz="0" w:space="0" w:color="auto"/>
        <w:left w:val="none" w:sz="0" w:space="0" w:color="auto"/>
        <w:bottom w:val="none" w:sz="0" w:space="0" w:color="auto"/>
        <w:right w:val="none" w:sz="0" w:space="0" w:color="auto"/>
      </w:divBdr>
    </w:div>
    <w:div w:id="117341432">
      <w:bodyDiv w:val="1"/>
      <w:marLeft w:val="0"/>
      <w:marRight w:val="0"/>
      <w:marTop w:val="0"/>
      <w:marBottom w:val="0"/>
      <w:divBdr>
        <w:top w:val="none" w:sz="0" w:space="0" w:color="auto"/>
        <w:left w:val="none" w:sz="0" w:space="0" w:color="auto"/>
        <w:bottom w:val="none" w:sz="0" w:space="0" w:color="auto"/>
        <w:right w:val="none" w:sz="0" w:space="0" w:color="auto"/>
      </w:divBdr>
    </w:div>
    <w:div w:id="121193642">
      <w:bodyDiv w:val="1"/>
      <w:marLeft w:val="0"/>
      <w:marRight w:val="0"/>
      <w:marTop w:val="0"/>
      <w:marBottom w:val="0"/>
      <w:divBdr>
        <w:top w:val="none" w:sz="0" w:space="0" w:color="auto"/>
        <w:left w:val="none" w:sz="0" w:space="0" w:color="auto"/>
        <w:bottom w:val="none" w:sz="0" w:space="0" w:color="auto"/>
        <w:right w:val="none" w:sz="0" w:space="0" w:color="auto"/>
      </w:divBdr>
    </w:div>
    <w:div w:id="338195746">
      <w:bodyDiv w:val="1"/>
      <w:marLeft w:val="0"/>
      <w:marRight w:val="0"/>
      <w:marTop w:val="0"/>
      <w:marBottom w:val="0"/>
      <w:divBdr>
        <w:top w:val="none" w:sz="0" w:space="0" w:color="auto"/>
        <w:left w:val="none" w:sz="0" w:space="0" w:color="auto"/>
        <w:bottom w:val="none" w:sz="0" w:space="0" w:color="auto"/>
        <w:right w:val="none" w:sz="0" w:space="0" w:color="auto"/>
      </w:divBdr>
    </w:div>
    <w:div w:id="399670160">
      <w:bodyDiv w:val="1"/>
      <w:marLeft w:val="0"/>
      <w:marRight w:val="0"/>
      <w:marTop w:val="0"/>
      <w:marBottom w:val="0"/>
      <w:divBdr>
        <w:top w:val="none" w:sz="0" w:space="0" w:color="auto"/>
        <w:left w:val="none" w:sz="0" w:space="0" w:color="auto"/>
        <w:bottom w:val="none" w:sz="0" w:space="0" w:color="auto"/>
        <w:right w:val="none" w:sz="0" w:space="0" w:color="auto"/>
      </w:divBdr>
    </w:div>
    <w:div w:id="434784909">
      <w:bodyDiv w:val="1"/>
      <w:marLeft w:val="0"/>
      <w:marRight w:val="0"/>
      <w:marTop w:val="0"/>
      <w:marBottom w:val="0"/>
      <w:divBdr>
        <w:top w:val="none" w:sz="0" w:space="0" w:color="auto"/>
        <w:left w:val="none" w:sz="0" w:space="0" w:color="auto"/>
        <w:bottom w:val="none" w:sz="0" w:space="0" w:color="auto"/>
        <w:right w:val="none" w:sz="0" w:space="0" w:color="auto"/>
      </w:divBdr>
    </w:div>
    <w:div w:id="639925935">
      <w:bodyDiv w:val="1"/>
      <w:marLeft w:val="0"/>
      <w:marRight w:val="0"/>
      <w:marTop w:val="0"/>
      <w:marBottom w:val="0"/>
      <w:divBdr>
        <w:top w:val="none" w:sz="0" w:space="0" w:color="auto"/>
        <w:left w:val="none" w:sz="0" w:space="0" w:color="auto"/>
        <w:bottom w:val="none" w:sz="0" w:space="0" w:color="auto"/>
        <w:right w:val="none" w:sz="0" w:space="0" w:color="auto"/>
      </w:divBdr>
    </w:div>
    <w:div w:id="678118413">
      <w:bodyDiv w:val="1"/>
      <w:marLeft w:val="0"/>
      <w:marRight w:val="0"/>
      <w:marTop w:val="0"/>
      <w:marBottom w:val="0"/>
      <w:divBdr>
        <w:top w:val="none" w:sz="0" w:space="0" w:color="auto"/>
        <w:left w:val="none" w:sz="0" w:space="0" w:color="auto"/>
        <w:bottom w:val="none" w:sz="0" w:space="0" w:color="auto"/>
        <w:right w:val="none" w:sz="0" w:space="0" w:color="auto"/>
      </w:divBdr>
    </w:div>
    <w:div w:id="808864568">
      <w:bodyDiv w:val="1"/>
      <w:marLeft w:val="0"/>
      <w:marRight w:val="0"/>
      <w:marTop w:val="0"/>
      <w:marBottom w:val="0"/>
      <w:divBdr>
        <w:top w:val="none" w:sz="0" w:space="0" w:color="auto"/>
        <w:left w:val="none" w:sz="0" w:space="0" w:color="auto"/>
        <w:bottom w:val="none" w:sz="0" w:space="0" w:color="auto"/>
        <w:right w:val="none" w:sz="0" w:space="0" w:color="auto"/>
      </w:divBdr>
    </w:div>
    <w:div w:id="811406440">
      <w:bodyDiv w:val="1"/>
      <w:marLeft w:val="0"/>
      <w:marRight w:val="0"/>
      <w:marTop w:val="0"/>
      <w:marBottom w:val="0"/>
      <w:divBdr>
        <w:top w:val="none" w:sz="0" w:space="0" w:color="auto"/>
        <w:left w:val="none" w:sz="0" w:space="0" w:color="auto"/>
        <w:bottom w:val="none" w:sz="0" w:space="0" w:color="auto"/>
        <w:right w:val="none" w:sz="0" w:space="0" w:color="auto"/>
      </w:divBdr>
    </w:div>
    <w:div w:id="853692665">
      <w:bodyDiv w:val="1"/>
      <w:marLeft w:val="0"/>
      <w:marRight w:val="0"/>
      <w:marTop w:val="0"/>
      <w:marBottom w:val="0"/>
      <w:divBdr>
        <w:top w:val="none" w:sz="0" w:space="0" w:color="auto"/>
        <w:left w:val="none" w:sz="0" w:space="0" w:color="auto"/>
        <w:bottom w:val="none" w:sz="0" w:space="0" w:color="auto"/>
        <w:right w:val="none" w:sz="0" w:space="0" w:color="auto"/>
      </w:divBdr>
    </w:div>
    <w:div w:id="915750550">
      <w:bodyDiv w:val="1"/>
      <w:marLeft w:val="0"/>
      <w:marRight w:val="0"/>
      <w:marTop w:val="0"/>
      <w:marBottom w:val="0"/>
      <w:divBdr>
        <w:top w:val="none" w:sz="0" w:space="0" w:color="auto"/>
        <w:left w:val="none" w:sz="0" w:space="0" w:color="auto"/>
        <w:bottom w:val="none" w:sz="0" w:space="0" w:color="auto"/>
        <w:right w:val="none" w:sz="0" w:space="0" w:color="auto"/>
      </w:divBdr>
    </w:div>
    <w:div w:id="923027740">
      <w:bodyDiv w:val="1"/>
      <w:marLeft w:val="0"/>
      <w:marRight w:val="0"/>
      <w:marTop w:val="0"/>
      <w:marBottom w:val="0"/>
      <w:divBdr>
        <w:top w:val="none" w:sz="0" w:space="0" w:color="auto"/>
        <w:left w:val="none" w:sz="0" w:space="0" w:color="auto"/>
        <w:bottom w:val="none" w:sz="0" w:space="0" w:color="auto"/>
        <w:right w:val="none" w:sz="0" w:space="0" w:color="auto"/>
      </w:divBdr>
    </w:div>
    <w:div w:id="973289873">
      <w:bodyDiv w:val="1"/>
      <w:marLeft w:val="0"/>
      <w:marRight w:val="0"/>
      <w:marTop w:val="0"/>
      <w:marBottom w:val="0"/>
      <w:divBdr>
        <w:top w:val="none" w:sz="0" w:space="0" w:color="auto"/>
        <w:left w:val="none" w:sz="0" w:space="0" w:color="auto"/>
        <w:bottom w:val="none" w:sz="0" w:space="0" w:color="auto"/>
        <w:right w:val="none" w:sz="0" w:space="0" w:color="auto"/>
      </w:divBdr>
    </w:div>
    <w:div w:id="1025447832">
      <w:bodyDiv w:val="1"/>
      <w:marLeft w:val="0"/>
      <w:marRight w:val="0"/>
      <w:marTop w:val="0"/>
      <w:marBottom w:val="0"/>
      <w:divBdr>
        <w:top w:val="none" w:sz="0" w:space="0" w:color="auto"/>
        <w:left w:val="none" w:sz="0" w:space="0" w:color="auto"/>
        <w:bottom w:val="none" w:sz="0" w:space="0" w:color="auto"/>
        <w:right w:val="none" w:sz="0" w:space="0" w:color="auto"/>
      </w:divBdr>
    </w:div>
    <w:div w:id="1041394660">
      <w:bodyDiv w:val="1"/>
      <w:marLeft w:val="0"/>
      <w:marRight w:val="0"/>
      <w:marTop w:val="0"/>
      <w:marBottom w:val="0"/>
      <w:divBdr>
        <w:top w:val="none" w:sz="0" w:space="0" w:color="auto"/>
        <w:left w:val="none" w:sz="0" w:space="0" w:color="auto"/>
        <w:bottom w:val="none" w:sz="0" w:space="0" w:color="auto"/>
        <w:right w:val="none" w:sz="0" w:space="0" w:color="auto"/>
      </w:divBdr>
    </w:div>
    <w:div w:id="1052389746">
      <w:bodyDiv w:val="1"/>
      <w:marLeft w:val="0"/>
      <w:marRight w:val="0"/>
      <w:marTop w:val="0"/>
      <w:marBottom w:val="0"/>
      <w:divBdr>
        <w:top w:val="none" w:sz="0" w:space="0" w:color="auto"/>
        <w:left w:val="none" w:sz="0" w:space="0" w:color="auto"/>
        <w:bottom w:val="none" w:sz="0" w:space="0" w:color="auto"/>
        <w:right w:val="none" w:sz="0" w:space="0" w:color="auto"/>
      </w:divBdr>
    </w:div>
    <w:div w:id="1071198662">
      <w:bodyDiv w:val="1"/>
      <w:marLeft w:val="0"/>
      <w:marRight w:val="0"/>
      <w:marTop w:val="0"/>
      <w:marBottom w:val="0"/>
      <w:divBdr>
        <w:top w:val="none" w:sz="0" w:space="0" w:color="auto"/>
        <w:left w:val="none" w:sz="0" w:space="0" w:color="auto"/>
        <w:bottom w:val="none" w:sz="0" w:space="0" w:color="auto"/>
        <w:right w:val="none" w:sz="0" w:space="0" w:color="auto"/>
      </w:divBdr>
    </w:div>
    <w:div w:id="1109811397">
      <w:bodyDiv w:val="1"/>
      <w:marLeft w:val="0"/>
      <w:marRight w:val="0"/>
      <w:marTop w:val="0"/>
      <w:marBottom w:val="0"/>
      <w:divBdr>
        <w:top w:val="none" w:sz="0" w:space="0" w:color="auto"/>
        <w:left w:val="none" w:sz="0" w:space="0" w:color="auto"/>
        <w:bottom w:val="none" w:sz="0" w:space="0" w:color="auto"/>
        <w:right w:val="none" w:sz="0" w:space="0" w:color="auto"/>
      </w:divBdr>
    </w:div>
    <w:div w:id="1243368878">
      <w:bodyDiv w:val="1"/>
      <w:marLeft w:val="0"/>
      <w:marRight w:val="0"/>
      <w:marTop w:val="0"/>
      <w:marBottom w:val="0"/>
      <w:divBdr>
        <w:top w:val="none" w:sz="0" w:space="0" w:color="auto"/>
        <w:left w:val="none" w:sz="0" w:space="0" w:color="auto"/>
        <w:bottom w:val="none" w:sz="0" w:space="0" w:color="auto"/>
        <w:right w:val="none" w:sz="0" w:space="0" w:color="auto"/>
      </w:divBdr>
    </w:div>
    <w:div w:id="1360621359">
      <w:bodyDiv w:val="1"/>
      <w:marLeft w:val="0"/>
      <w:marRight w:val="0"/>
      <w:marTop w:val="0"/>
      <w:marBottom w:val="0"/>
      <w:divBdr>
        <w:top w:val="none" w:sz="0" w:space="0" w:color="auto"/>
        <w:left w:val="none" w:sz="0" w:space="0" w:color="auto"/>
        <w:bottom w:val="none" w:sz="0" w:space="0" w:color="auto"/>
        <w:right w:val="none" w:sz="0" w:space="0" w:color="auto"/>
      </w:divBdr>
    </w:div>
    <w:div w:id="1418096267">
      <w:bodyDiv w:val="1"/>
      <w:marLeft w:val="0"/>
      <w:marRight w:val="0"/>
      <w:marTop w:val="0"/>
      <w:marBottom w:val="0"/>
      <w:divBdr>
        <w:top w:val="none" w:sz="0" w:space="0" w:color="auto"/>
        <w:left w:val="none" w:sz="0" w:space="0" w:color="auto"/>
        <w:bottom w:val="none" w:sz="0" w:space="0" w:color="auto"/>
        <w:right w:val="none" w:sz="0" w:space="0" w:color="auto"/>
      </w:divBdr>
    </w:div>
    <w:div w:id="1428692558">
      <w:bodyDiv w:val="1"/>
      <w:marLeft w:val="0"/>
      <w:marRight w:val="0"/>
      <w:marTop w:val="0"/>
      <w:marBottom w:val="0"/>
      <w:divBdr>
        <w:top w:val="none" w:sz="0" w:space="0" w:color="auto"/>
        <w:left w:val="none" w:sz="0" w:space="0" w:color="auto"/>
        <w:bottom w:val="none" w:sz="0" w:space="0" w:color="auto"/>
        <w:right w:val="none" w:sz="0" w:space="0" w:color="auto"/>
      </w:divBdr>
    </w:div>
    <w:div w:id="1459645925">
      <w:bodyDiv w:val="1"/>
      <w:marLeft w:val="0"/>
      <w:marRight w:val="0"/>
      <w:marTop w:val="0"/>
      <w:marBottom w:val="0"/>
      <w:divBdr>
        <w:top w:val="none" w:sz="0" w:space="0" w:color="auto"/>
        <w:left w:val="none" w:sz="0" w:space="0" w:color="auto"/>
        <w:bottom w:val="none" w:sz="0" w:space="0" w:color="auto"/>
        <w:right w:val="none" w:sz="0" w:space="0" w:color="auto"/>
      </w:divBdr>
    </w:div>
    <w:div w:id="1464076987">
      <w:bodyDiv w:val="1"/>
      <w:marLeft w:val="0"/>
      <w:marRight w:val="0"/>
      <w:marTop w:val="0"/>
      <w:marBottom w:val="0"/>
      <w:divBdr>
        <w:top w:val="none" w:sz="0" w:space="0" w:color="auto"/>
        <w:left w:val="none" w:sz="0" w:space="0" w:color="auto"/>
        <w:bottom w:val="none" w:sz="0" w:space="0" w:color="auto"/>
        <w:right w:val="none" w:sz="0" w:space="0" w:color="auto"/>
      </w:divBdr>
    </w:div>
    <w:div w:id="1486507443">
      <w:bodyDiv w:val="1"/>
      <w:marLeft w:val="0"/>
      <w:marRight w:val="0"/>
      <w:marTop w:val="0"/>
      <w:marBottom w:val="0"/>
      <w:divBdr>
        <w:top w:val="none" w:sz="0" w:space="0" w:color="auto"/>
        <w:left w:val="none" w:sz="0" w:space="0" w:color="auto"/>
        <w:bottom w:val="none" w:sz="0" w:space="0" w:color="auto"/>
        <w:right w:val="none" w:sz="0" w:space="0" w:color="auto"/>
      </w:divBdr>
    </w:div>
    <w:div w:id="1666280176">
      <w:bodyDiv w:val="1"/>
      <w:marLeft w:val="0"/>
      <w:marRight w:val="0"/>
      <w:marTop w:val="0"/>
      <w:marBottom w:val="0"/>
      <w:divBdr>
        <w:top w:val="none" w:sz="0" w:space="0" w:color="auto"/>
        <w:left w:val="none" w:sz="0" w:space="0" w:color="auto"/>
        <w:bottom w:val="none" w:sz="0" w:space="0" w:color="auto"/>
        <w:right w:val="none" w:sz="0" w:space="0" w:color="auto"/>
      </w:divBdr>
    </w:div>
    <w:div w:id="1710761689">
      <w:bodyDiv w:val="1"/>
      <w:marLeft w:val="0"/>
      <w:marRight w:val="0"/>
      <w:marTop w:val="0"/>
      <w:marBottom w:val="0"/>
      <w:divBdr>
        <w:top w:val="none" w:sz="0" w:space="0" w:color="auto"/>
        <w:left w:val="none" w:sz="0" w:space="0" w:color="auto"/>
        <w:bottom w:val="none" w:sz="0" w:space="0" w:color="auto"/>
        <w:right w:val="none" w:sz="0" w:space="0" w:color="auto"/>
      </w:divBdr>
    </w:div>
    <w:div w:id="1717965306">
      <w:bodyDiv w:val="1"/>
      <w:marLeft w:val="0"/>
      <w:marRight w:val="0"/>
      <w:marTop w:val="0"/>
      <w:marBottom w:val="0"/>
      <w:divBdr>
        <w:top w:val="none" w:sz="0" w:space="0" w:color="auto"/>
        <w:left w:val="none" w:sz="0" w:space="0" w:color="auto"/>
        <w:bottom w:val="none" w:sz="0" w:space="0" w:color="auto"/>
        <w:right w:val="none" w:sz="0" w:space="0" w:color="auto"/>
      </w:divBdr>
    </w:div>
    <w:div w:id="1732146977">
      <w:bodyDiv w:val="1"/>
      <w:marLeft w:val="0"/>
      <w:marRight w:val="0"/>
      <w:marTop w:val="0"/>
      <w:marBottom w:val="0"/>
      <w:divBdr>
        <w:top w:val="none" w:sz="0" w:space="0" w:color="auto"/>
        <w:left w:val="none" w:sz="0" w:space="0" w:color="auto"/>
        <w:bottom w:val="none" w:sz="0" w:space="0" w:color="auto"/>
        <w:right w:val="none" w:sz="0" w:space="0" w:color="auto"/>
      </w:divBdr>
    </w:div>
    <w:div w:id="1805538465">
      <w:bodyDiv w:val="1"/>
      <w:marLeft w:val="0"/>
      <w:marRight w:val="0"/>
      <w:marTop w:val="0"/>
      <w:marBottom w:val="0"/>
      <w:divBdr>
        <w:top w:val="none" w:sz="0" w:space="0" w:color="auto"/>
        <w:left w:val="none" w:sz="0" w:space="0" w:color="auto"/>
        <w:bottom w:val="none" w:sz="0" w:space="0" w:color="auto"/>
        <w:right w:val="none" w:sz="0" w:space="0" w:color="auto"/>
      </w:divBdr>
    </w:div>
    <w:div w:id="1828285126">
      <w:bodyDiv w:val="1"/>
      <w:marLeft w:val="0"/>
      <w:marRight w:val="0"/>
      <w:marTop w:val="0"/>
      <w:marBottom w:val="0"/>
      <w:divBdr>
        <w:top w:val="none" w:sz="0" w:space="0" w:color="auto"/>
        <w:left w:val="none" w:sz="0" w:space="0" w:color="auto"/>
        <w:bottom w:val="none" w:sz="0" w:space="0" w:color="auto"/>
        <w:right w:val="none" w:sz="0" w:space="0" w:color="auto"/>
      </w:divBdr>
    </w:div>
    <w:div w:id="1884631957">
      <w:bodyDiv w:val="1"/>
      <w:marLeft w:val="0"/>
      <w:marRight w:val="0"/>
      <w:marTop w:val="0"/>
      <w:marBottom w:val="0"/>
      <w:divBdr>
        <w:top w:val="none" w:sz="0" w:space="0" w:color="auto"/>
        <w:left w:val="none" w:sz="0" w:space="0" w:color="auto"/>
        <w:bottom w:val="none" w:sz="0" w:space="0" w:color="auto"/>
        <w:right w:val="none" w:sz="0" w:space="0" w:color="auto"/>
      </w:divBdr>
    </w:div>
    <w:div w:id="2139258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3.xml"/><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header" Target="header1.xml"/><Relationship Id="rId10" Type="http://schemas.openxmlformats.org/officeDocument/2006/relationships/chart" Target="charts/chart2.xml"/><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image" Target="media/image10.png"/></Relationships>
</file>

<file path=word/_rels/footer1.xml.rels><?xml version="1.0" encoding="UTF-8" standalone="yes"?>
<Relationships xmlns="http://schemas.openxmlformats.org/package/2006/relationships"><Relationship Id="rId3" Type="http://schemas.openxmlformats.org/officeDocument/2006/relationships/hyperlink" Target="mailto:despacho.contraloria@contraloriatolima.gov.co" TargetMode="External"/><Relationship Id="rId2" Type="http://schemas.openxmlformats.org/officeDocument/2006/relationships/hyperlink" Target="http://www.contraloriatolima.gov.co" TargetMode="External"/><Relationship Id="rId1" Type="http://schemas.openxmlformats.org/officeDocument/2006/relationships/hyperlink" Target="mailto:despacho.contraloria@contraloriatolima.gov.co" TargetMode="External"/><Relationship Id="rId4" Type="http://schemas.openxmlformats.org/officeDocument/2006/relationships/hyperlink" Target="http://www.contraloriatolim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Excel3.xlsx"/></Relationships>
</file>

<file path=word/charts/_rels/chart4.xml.rels><?xml version="1.0" encoding="UTF-8" standalone="yes"?>
<Relationships xmlns="http://schemas.openxmlformats.org/package/2006/relationships"><Relationship Id="rId2" Type="http://schemas.openxmlformats.org/officeDocument/2006/relationships/oleObject" Target="file:///E:\INFORME%20FISCAL%20Y%20FINANCIERO\2015\ENTIDADES%20TERRITORIALES%2015\LERIDA\CUADROS%20INGRESOS%20-%20GASTOS.xls" TargetMode="External"/><Relationship Id="rId1" Type="http://schemas.openxmlformats.org/officeDocument/2006/relationships/image" Target="../media/image5.jpeg"/></Relationships>
</file>

<file path=word/charts/_rels/chart5.xml.rels><?xml version="1.0" encoding="UTF-8" standalone="yes"?>
<Relationships xmlns="http://schemas.openxmlformats.org/package/2006/relationships"><Relationship Id="rId1" Type="http://schemas.openxmlformats.org/officeDocument/2006/relationships/package" Target="../embeddings/Hoja_de_c_lculo_de_Microsoft_Excel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Hoja_de_c_lculo_de_Microsoft_Excel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view3D>
    <c:floor>
      <c:thickness val="0"/>
    </c:floor>
    <c:sideWall>
      <c:thickness val="0"/>
    </c:sideWall>
    <c:backWall>
      <c:thickness val="0"/>
    </c:backWall>
    <c:plotArea>
      <c:layout/>
      <c:bar3DChart>
        <c:barDir val="col"/>
        <c:grouping val="standard"/>
        <c:varyColors val="0"/>
        <c:ser>
          <c:idx val="0"/>
          <c:order val="0"/>
          <c:tx>
            <c:strRef>
              <c:f>Hoja1!$B$1</c:f>
              <c:strCache>
                <c:ptCount val="1"/>
                <c:pt idx="0">
                  <c:v>PPTO INICIAL</c:v>
                </c:pt>
              </c:strCache>
            </c:strRef>
          </c:tx>
          <c:invertIfNegative val="0"/>
          <c:cat>
            <c:strRef>
              <c:f>Hoja1!$A$2</c:f>
              <c:strCache>
                <c:ptCount val="1"/>
                <c:pt idx="0">
                  <c:v>PPTO.INGRESOS</c:v>
                </c:pt>
              </c:strCache>
            </c:strRef>
          </c:cat>
          <c:val>
            <c:numRef>
              <c:f>Hoja1!$B$2</c:f>
              <c:numCache>
                <c:formatCode>_(* #,##0_);_(* \(#,##0\);_(* "-"??_);_(@_)</c:formatCode>
                <c:ptCount val="1"/>
                <c:pt idx="0">
                  <c:v>11326608</c:v>
                </c:pt>
              </c:numCache>
            </c:numRef>
          </c:val>
        </c:ser>
        <c:ser>
          <c:idx val="1"/>
          <c:order val="1"/>
          <c:tx>
            <c:strRef>
              <c:f>Hoja1!$C$1</c:f>
              <c:strCache>
                <c:ptCount val="1"/>
                <c:pt idx="0">
                  <c:v>ADICIONES</c:v>
                </c:pt>
              </c:strCache>
            </c:strRef>
          </c:tx>
          <c:invertIfNegative val="0"/>
          <c:cat>
            <c:strRef>
              <c:f>Hoja1!$A$2</c:f>
              <c:strCache>
                <c:ptCount val="1"/>
                <c:pt idx="0">
                  <c:v>PPTO.INGRESOS</c:v>
                </c:pt>
              </c:strCache>
            </c:strRef>
          </c:cat>
          <c:val>
            <c:numRef>
              <c:f>Hoja1!$C$2</c:f>
              <c:numCache>
                <c:formatCode>_(* #,##0_);_(* \(#,##0\);_(* "-"??_);_(@_)</c:formatCode>
                <c:ptCount val="1"/>
                <c:pt idx="0">
                  <c:v>20225904</c:v>
                </c:pt>
              </c:numCache>
            </c:numRef>
          </c:val>
        </c:ser>
        <c:ser>
          <c:idx val="2"/>
          <c:order val="2"/>
          <c:tx>
            <c:strRef>
              <c:f>Hoja1!$D$1</c:f>
              <c:strCache>
                <c:ptCount val="1"/>
                <c:pt idx="0">
                  <c:v>REDUCCIONES</c:v>
                </c:pt>
              </c:strCache>
            </c:strRef>
          </c:tx>
          <c:invertIfNegative val="0"/>
          <c:cat>
            <c:strRef>
              <c:f>Hoja1!$A$2</c:f>
              <c:strCache>
                <c:ptCount val="1"/>
                <c:pt idx="0">
                  <c:v>PPTO.INGRESOS</c:v>
                </c:pt>
              </c:strCache>
            </c:strRef>
          </c:cat>
          <c:val>
            <c:numRef>
              <c:f>Hoja1!$D$2</c:f>
              <c:numCache>
                <c:formatCode>_(* #,##0_);_(* \(#,##0\);_(* "-"??_);_(@_)</c:formatCode>
                <c:ptCount val="1"/>
                <c:pt idx="0">
                  <c:v>0</c:v>
                </c:pt>
              </c:numCache>
            </c:numRef>
          </c:val>
        </c:ser>
        <c:ser>
          <c:idx val="3"/>
          <c:order val="3"/>
          <c:tx>
            <c:strRef>
              <c:f>Hoja1!$E$1</c:f>
              <c:strCache>
                <c:ptCount val="1"/>
                <c:pt idx="0">
                  <c:v>PPTO DEFINITIVO</c:v>
                </c:pt>
              </c:strCache>
            </c:strRef>
          </c:tx>
          <c:invertIfNegative val="0"/>
          <c:cat>
            <c:strRef>
              <c:f>Hoja1!$A$2</c:f>
              <c:strCache>
                <c:ptCount val="1"/>
                <c:pt idx="0">
                  <c:v>PPTO.INGRESOS</c:v>
                </c:pt>
              </c:strCache>
            </c:strRef>
          </c:cat>
          <c:val>
            <c:numRef>
              <c:f>Hoja1!$E$2</c:f>
              <c:numCache>
                <c:formatCode>_(* #,##0_);_(* \(#,##0\);_(* "-"??_);_(@_)</c:formatCode>
                <c:ptCount val="1"/>
                <c:pt idx="0">
                  <c:v>31552512</c:v>
                </c:pt>
              </c:numCache>
            </c:numRef>
          </c:val>
        </c:ser>
        <c:dLbls>
          <c:showLegendKey val="0"/>
          <c:showVal val="0"/>
          <c:showCatName val="0"/>
          <c:showSerName val="0"/>
          <c:showPercent val="0"/>
          <c:showBubbleSize val="0"/>
        </c:dLbls>
        <c:gapWidth val="150"/>
        <c:shape val="pyramid"/>
        <c:axId val="728553488"/>
        <c:axId val="728554032"/>
        <c:axId val="728600512"/>
      </c:bar3DChart>
      <c:catAx>
        <c:axId val="728553488"/>
        <c:scaling>
          <c:orientation val="minMax"/>
        </c:scaling>
        <c:delete val="0"/>
        <c:axPos val="b"/>
        <c:numFmt formatCode="General" sourceLinked="0"/>
        <c:majorTickMark val="out"/>
        <c:minorTickMark val="none"/>
        <c:tickLblPos val="nextTo"/>
        <c:crossAx val="728554032"/>
        <c:crosses val="autoZero"/>
        <c:auto val="1"/>
        <c:lblAlgn val="ctr"/>
        <c:lblOffset val="100"/>
        <c:noMultiLvlLbl val="0"/>
      </c:catAx>
      <c:valAx>
        <c:axId val="728554032"/>
        <c:scaling>
          <c:orientation val="minMax"/>
        </c:scaling>
        <c:delete val="0"/>
        <c:axPos val="l"/>
        <c:majorGridlines/>
        <c:numFmt formatCode="_(* #,##0_);_(* \(#,##0\);_(* &quot;-&quot;??_);_(@_)" sourceLinked="1"/>
        <c:majorTickMark val="out"/>
        <c:minorTickMark val="none"/>
        <c:tickLblPos val="nextTo"/>
        <c:crossAx val="728553488"/>
        <c:crosses val="autoZero"/>
        <c:crossBetween val="between"/>
      </c:valAx>
      <c:serAx>
        <c:axId val="728600512"/>
        <c:scaling>
          <c:orientation val="minMax"/>
        </c:scaling>
        <c:delete val="0"/>
        <c:axPos val="b"/>
        <c:majorTickMark val="out"/>
        <c:minorTickMark val="none"/>
        <c:tickLblPos val="nextTo"/>
        <c:crossAx val="728554032"/>
        <c:crosses val="autoZero"/>
      </c:serAx>
    </c:plotArea>
    <c:legend>
      <c:legendPos val="r"/>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pieChart>
        <c:varyColors val="1"/>
        <c:ser>
          <c:idx val="0"/>
          <c:order val="0"/>
          <c:tx>
            <c:strRef>
              <c:f>Hoja1!$B$1</c:f>
              <c:strCache>
                <c:ptCount val="1"/>
                <c:pt idx="0">
                  <c:v>PRESUPUESTO INICIAL</c:v>
                </c:pt>
              </c:strCache>
            </c:strRef>
          </c:tx>
          <c:dLbls>
            <c:dLbl>
              <c:idx val="0"/>
              <c:layout>
                <c:manualLayout>
                  <c:x val="-0.2100936457016947"/>
                  <c:y val="2.7141753738548349E-2"/>
                </c:manualLayout>
              </c:layout>
              <c:tx>
                <c:rich>
                  <a:bodyPr/>
                  <a:lstStyle/>
                  <a:p>
                    <a:r>
                      <a:rPr lang="en-US"/>
                      <a:t>Ing.</a:t>
                    </a:r>
                    <a:r>
                      <a:rPr lang="en-US" baseline="0"/>
                      <a:t> Tributarios</a:t>
                    </a:r>
                  </a:p>
                  <a:p>
                    <a:r>
                      <a:rPr lang="en-US" baseline="0"/>
                      <a:t>46%</a:t>
                    </a:r>
                    <a:endParaRPr lang="en-US"/>
                  </a:p>
                </c:rich>
              </c:tx>
              <c:showLegendKey val="1"/>
              <c:showVal val="1"/>
              <c:showCatName val="0"/>
              <c:showSerName val="0"/>
              <c:showPercent val="0"/>
              <c:showBubbleSize val="0"/>
              <c:extLst>
                <c:ext xmlns:c15="http://schemas.microsoft.com/office/drawing/2012/chart" uri="{CE6537A1-D6FC-4f65-9D91-7224C49458BB}">
                  <c15:layout/>
                </c:ext>
              </c:extLst>
            </c:dLbl>
            <c:dLbl>
              <c:idx val="1"/>
              <c:layout/>
              <c:tx>
                <c:rich>
                  <a:bodyPr/>
                  <a:lstStyle/>
                  <a:p>
                    <a:r>
                      <a:rPr lang="en-US"/>
                      <a:t>Ing.</a:t>
                    </a:r>
                    <a:r>
                      <a:rPr lang="en-US" baseline="0"/>
                      <a:t> No Tributarios </a:t>
                    </a:r>
                  </a:p>
                  <a:p>
                    <a:r>
                      <a:rPr lang="en-US" baseline="0"/>
                      <a:t>3%</a:t>
                    </a:r>
                    <a:endParaRPr lang="en-US"/>
                  </a:p>
                </c:rich>
              </c:tx>
              <c:showLegendKey val="1"/>
              <c:showVal val="1"/>
              <c:showCatName val="0"/>
              <c:showSerName val="0"/>
              <c:showPercent val="0"/>
              <c:showBubbleSize val="0"/>
              <c:extLst>
                <c:ext xmlns:c15="http://schemas.microsoft.com/office/drawing/2012/chart" uri="{CE6537A1-D6FC-4f65-9D91-7224C49458BB}">
                  <c15:layout/>
                </c:ext>
              </c:extLst>
            </c:dLbl>
            <c:dLbl>
              <c:idx val="2"/>
              <c:layout>
                <c:manualLayout>
                  <c:x val="0.14359486892842099"/>
                  <c:y val="-9.5195849156457624E-2"/>
                </c:manualLayout>
              </c:layout>
              <c:tx>
                <c:rich>
                  <a:bodyPr/>
                  <a:lstStyle/>
                  <a:p>
                    <a:r>
                      <a:rPr lang="en-US"/>
                      <a:t>Transferencias </a:t>
                    </a:r>
                  </a:p>
                  <a:p>
                    <a:r>
                      <a:rPr lang="en-US"/>
                      <a:t>50%</a:t>
                    </a:r>
                  </a:p>
                </c:rich>
              </c:tx>
              <c:showLegendKey val="1"/>
              <c:showVal val="1"/>
              <c:showCatName val="0"/>
              <c:showSerName val="0"/>
              <c:showPercent val="0"/>
              <c:showBubbleSize val="0"/>
              <c:extLst>
                <c:ext xmlns:c15="http://schemas.microsoft.com/office/drawing/2012/chart" uri="{CE6537A1-D6FC-4f65-9D91-7224C49458BB}">
                  <c15:layout/>
                </c:ext>
              </c:extLst>
            </c:dLbl>
            <c:dLbl>
              <c:idx val="3"/>
              <c:layout>
                <c:manualLayout>
                  <c:x val="-0.24076131967020606"/>
                  <c:y val="4.2978614359595581E-2"/>
                </c:manualLayout>
              </c:layout>
              <c:tx>
                <c:rich>
                  <a:bodyPr/>
                  <a:lstStyle/>
                  <a:p>
                    <a:r>
                      <a:rPr lang="en-US"/>
                      <a:t>Recursos de Capital 1%</a:t>
                    </a:r>
                  </a:p>
                </c:rich>
              </c:tx>
              <c:showLegendKey val="1"/>
              <c:showVal val="1"/>
              <c:showCatName val="0"/>
              <c:showSerName val="0"/>
              <c:showPercent val="0"/>
              <c:showBubbleSize val="0"/>
              <c:extLst>
                <c:ext xmlns:c15="http://schemas.microsoft.com/office/drawing/2012/chart" uri="{CE6537A1-D6FC-4f65-9D91-7224C49458BB}">
                  <c15:layout/>
                </c:ext>
              </c:extLst>
            </c:dLbl>
            <c:spPr>
              <a:noFill/>
              <a:ln>
                <a:noFill/>
              </a:ln>
              <a:effectLst/>
            </c:spPr>
            <c:showLegendKey val="1"/>
            <c:showVal val="1"/>
            <c:showCatName val="0"/>
            <c:showSerName val="0"/>
            <c:showPercent val="0"/>
            <c:showBubbleSize val="0"/>
            <c:showLeaderLines val="1"/>
            <c:extLst>
              <c:ext xmlns:c15="http://schemas.microsoft.com/office/drawing/2012/chart" uri="{CE6537A1-D6FC-4f65-9D91-7224C49458BB}"/>
            </c:extLst>
          </c:dLbls>
          <c:cat>
            <c:strRef>
              <c:f>Hoja1!$A$2:$A$5</c:f>
              <c:strCache>
                <c:ptCount val="4"/>
                <c:pt idx="0">
                  <c:v>Ing. Tributarios $5.187.500.000</c:v>
                </c:pt>
                <c:pt idx="1">
                  <c:v>Ing. No Tributarios  $365.500.000</c:v>
                </c:pt>
                <c:pt idx="2">
                  <c:v>Transferncias   $5.638.608.066</c:v>
                </c:pt>
                <c:pt idx="3">
                  <c:v>Recursos de capital  $135.000.000</c:v>
                </c:pt>
              </c:strCache>
            </c:strRef>
          </c:cat>
          <c:val>
            <c:numRef>
              <c:f>Hoja1!$B$2:$B$5</c:f>
              <c:numCache>
                <c:formatCode>General</c:formatCode>
                <c:ptCount val="4"/>
                <c:pt idx="0">
                  <c:v>5187500</c:v>
                </c:pt>
                <c:pt idx="1">
                  <c:v>365000</c:v>
                </c:pt>
                <c:pt idx="2">
                  <c:v>5638608</c:v>
                </c:pt>
                <c:pt idx="3">
                  <c:v>135000</c:v>
                </c:pt>
              </c:numCache>
            </c:numRef>
          </c:val>
        </c:ser>
        <c:dLbls>
          <c:showLegendKey val="0"/>
          <c:showVal val="0"/>
          <c:showCatName val="0"/>
          <c:showSerName val="0"/>
          <c:showPercent val="0"/>
          <c:showBubbleSize val="0"/>
          <c:showLeaderLines val="1"/>
        </c:dLbls>
        <c:firstSliceAng val="0"/>
      </c:pieChart>
    </c:plotArea>
    <c:legend>
      <c:legendPos val="r"/>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6"/>
    </mc:Choice>
    <mc:Fallback>
      <c:style val="26"/>
    </mc:Fallback>
  </mc:AlternateContent>
  <c:chart>
    <c:title>
      <c:layout/>
      <c:overlay val="0"/>
    </c:title>
    <c:autoTitleDeleted val="0"/>
    <c:plotArea>
      <c:layout/>
      <c:pieChart>
        <c:varyColors val="1"/>
        <c:ser>
          <c:idx val="0"/>
          <c:order val="0"/>
          <c:tx>
            <c:strRef>
              <c:f>Hoja1!$B$1</c:f>
              <c:strCache>
                <c:ptCount val="1"/>
                <c:pt idx="0">
                  <c:v>PRINCIPALES FUENTES DE FINANCIACION</c:v>
                </c:pt>
              </c:strCache>
            </c:strRef>
          </c:tx>
          <c:explosion val="25"/>
          <c:dLbls>
            <c:dLbl>
              <c:idx val="0"/>
              <c:layout>
                <c:manualLayout>
                  <c:x val="-0.10416138086905803"/>
                  <c:y val="0.11376111468209331"/>
                </c:manualLayout>
              </c:layout>
              <c:tx>
                <c:rich>
                  <a:bodyPr/>
                  <a:lstStyle/>
                  <a:p>
                    <a:r>
                      <a:rPr lang="en-US"/>
                      <a:t>Convenios</a:t>
                    </a:r>
                  </a:p>
                </c:rich>
              </c:tx>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0140164771070285E-2"/>
                  <c:y val="-4.2490224436231181E-3"/>
                </c:manualLayout>
              </c:layout>
              <c:tx>
                <c:rich>
                  <a:bodyPr/>
                  <a:lstStyle/>
                  <a:p>
                    <a:r>
                      <a:rPr lang="en-US"/>
                      <a:t>Ing.</a:t>
                    </a:r>
                    <a:r>
                      <a:rPr lang="en-US" baseline="0"/>
                      <a:t> No Tributarios</a:t>
                    </a:r>
                    <a:endParaRPr lang="en-US"/>
                  </a:p>
                </c:rich>
              </c:tx>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8.3566637503645375E-2"/>
                  <c:y val="-0.13097715464138412"/>
                </c:manualLayout>
              </c:layout>
              <c:tx>
                <c:rich>
                  <a:bodyPr/>
                  <a:lstStyle/>
                  <a:p>
                    <a:r>
                      <a:rPr lang="en-US"/>
                      <a:t>Ing.</a:t>
                    </a:r>
                    <a:r>
                      <a:rPr lang="en-US" baseline="0"/>
                      <a:t> Tributarios</a:t>
                    </a:r>
                    <a:endParaRPr lang="en-US"/>
                  </a:p>
                </c:rich>
              </c:tx>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5480643044619419E-2"/>
                  <c:y val="-0.12209779581123796"/>
                </c:manualLayout>
              </c:layout>
              <c:tx>
                <c:rich>
                  <a:bodyPr/>
                  <a:lstStyle/>
                  <a:p>
                    <a:r>
                      <a:rPr lang="en-US"/>
                      <a:t>Recursos de</a:t>
                    </a:r>
                  </a:p>
                  <a:p>
                    <a:r>
                      <a:rPr lang="en-US"/>
                      <a:t> Capital</a:t>
                    </a:r>
                  </a:p>
                </c:rich>
              </c:tx>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9.5376202974628177E-2"/>
                  <c:y val="0.16685380845251485"/>
                </c:manualLayout>
              </c:layout>
              <c:tx>
                <c:rich>
                  <a:bodyPr/>
                  <a:lstStyle/>
                  <a:p>
                    <a:r>
                      <a:rPr lang="en-US"/>
                      <a:t>Sistema</a:t>
                    </a:r>
                    <a:r>
                      <a:rPr lang="en-US" baseline="0"/>
                      <a:t> General de </a:t>
                    </a:r>
                    <a:r>
                      <a:rPr lang="en-US"/>
                      <a:t>Participaciones</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3.8110965296004669E-2"/>
                  <c:y val="0.11526215473065866"/>
                </c:manualLayout>
              </c:layout>
              <c:tx>
                <c:rich>
                  <a:bodyPr/>
                  <a:lstStyle/>
                  <a:p>
                    <a:r>
                      <a:rPr lang="en-US"/>
                      <a:t>Sistema</a:t>
                    </a:r>
                    <a:r>
                      <a:rPr lang="en-US" baseline="0"/>
                      <a:t> General</a:t>
                    </a:r>
                  </a:p>
                  <a:p>
                    <a:r>
                      <a:rPr lang="en-US" baseline="0"/>
                      <a:t>de Regalías</a:t>
                    </a:r>
                    <a:endParaRPr lang="en-US"/>
                  </a:p>
                </c:rich>
              </c:tx>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0"/>
            <c:showCatName val="0"/>
            <c:showSerName val="0"/>
            <c:showPercent val="0"/>
            <c:showBubbleSize val="0"/>
            <c:extLst>
              <c:ext xmlns:c15="http://schemas.microsoft.com/office/drawing/2012/chart" uri="{CE6537A1-D6FC-4f65-9D91-7224C49458BB}"/>
            </c:extLst>
          </c:dLbls>
          <c:cat>
            <c:strRef>
              <c:f>Hoja1!$A$2:$A$6</c:f>
              <c:strCache>
                <c:ptCount val="5"/>
                <c:pt idx="0">
                  <c:v>Ing. Tributarios  25%</c:v>
                </c:pt>
                <c:pt idx="1">
                  <c:v>Ing. NoTributarios  2%</c:v>
                </c:pt>
                <c:pt idx="2">
                  <c:v>Sistema General de Participaciones  27%</c:v>
                </c:pt>
                <c:pt idx="3">
                  <c:v>Recursos de Capital 26%</c:v>
                </c:pt>
                <c:pt idx="4">
                  <c:v>Transferencias 20%</c:v>
                </c:pt>
              </c:strCache>
            </c:strRef>
          </c:cat>
          <c:val>
            <c:numRef>
              <c:f>Hoja1!$B$2:$B$6</c:f>
              <c:numCache>
                <c:formatCode>General</c:formatCode>
                <c:ptCount val="5"/>
                <c:pt idx="0">
                  <c:v>5933</c:v>
                </c:pt>
                <c:pt idx="1">
                  <c:v>515</c:v>
                </c:pt>
                <c:pt idx="2">
                  <c:v>6043</c:v>
                </c:pt>
                <c:pt idx="3">
                  <c:v>6043</c:v>
                </c:pt>
                <c:pt idx="4">
                  <c:v>4707</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74928277194517356"/>
          <c:y val="0.12281183602049744"/>
          <c:w val="0.2229394502770487"/>
          <c:h val="0.83353737032870889"/>
        </c:manualLayout>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sz="1400"/>
              <a:t>PRESUPUESTO INICIAL GASTOS</a:t>
            </a:r>
          </a:p>
        </c:rich>
      </c:tx>
      <c:layout/>
      <c:overlay val="0"/>
    </c:title>
    <c:autoTitleDeleted val="0"/>
    <c:view3D>
      <c:rotX val="30"/>
      <c:rotY val="0"/>
      <c:rAngAx val="0"/>
    </c:view3D>
    <c:floor>
      <c:thickness val="0"/>
    </c:floor>
    <c:sideWall>
      <c:thickness val="0"/>
    </c:sideWall>
    <c:backWall>
      <c:thickness val="0"/>
    </c:backWall>
    <c:plotArea>
      <c:layout/>
      <c:pie3DChart>
        <c:varyColors val="1"/>
        <c:ser>
          <c:idx val="0"/>
          <c:order val="0"/>
          <c:explosion val="25"/>
          <c:dPt>
            <c:idx val="0"/>
            <c:bubble3D val="0"/>
          </c:dPt>
          <c:dPt>
            <c:idx val="1"/>
            <c:bubble3D val="0"/>
          </c:dPt>
          <c:dLbls>
            <c:dLbl>
              <c:idx val="0"/>
              <c:layout/>
              <c:tx>
                <c:rich>
                  <a:bodyPr/>
                  <a:lstStyle/>
                  <a:p>
                    <a:r>
                      <a:rPr lang="en-US"/>
                      <a:t>29.83%</a:t>
                    </a:r>
                  </a:p>
                </c:rich>
              </c:tx>
              <c:showLegendKey val="0"/>
              <c:showVal val="0"/>
              <c:showCatName val="0"/>
              <c:showSerName val="0"/>
              <c:showPercent val="1"/>
              <c:showBubbleSize val="0"/>
              <c:extLst>
                <c:ext xmlns:c15="http://schemas.microsoft.com/office/drawing/2012/chart" uri="{CE6537A1-D6FC-4f65-9D91-7224C49458BB}">
                  <c15:layout/>
                </c:ext>
              </c:extLst>
            </c:dLbl>
            <c:dLbl>
              <c:idx val="1"/>
              <c:layout/>
              <c:tx>
                <c:rich>
                  <a:bodyPr/>
                  <a:lstStyle/>
                  <a:p>
                    <a:r>
                      <a:rPr lang="en-US"/>
                      <a:t>70.17%</a:t>
                    </a:r>
                  </a:p>
                </c:rich>
              </c:tx>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showLegendKey val="0"/>
            <c:showVal val="0"/>
            <c:showCatName val="0"/>
            <c:showSerName val="0"/>
            <c:showPercent val="1"/>
            <c:showBubbleSize val="0"/>
            <c:showLeaderLines val="0"/>
            <c:extLst>
              <c:ext xmlns:c15="http://schemas.microsoft.com/office/drawing/2012/chart" uri="{CE6537A1-D6FC-4f65-9D91-7224C49458BB}"/>
            </c:extLst>
          </c:dLbls>
          <c:cat>
            <c:strRef>
              <c:f>Hoja1!$A$37:$A$38</c:f>
              <c:strCache>
                <c:ptCount val="2"/>
                <c:pt idx="0">
                  <c:v>GASTOS DE FUNCIONAMIENTO</c:v>
                </c:pt>
                <c:pt idx="1">
                  <c:v>INVERSION</c:v>
                </c:pt>
              </c:strCache>
            </c:strRef>
          </c:cat>
          <c:val>
            <c:numRef>
              <c:f>Hoja1!$B$37:$B$38</c:f>
              <c:numCache>
                <c:formatCode>#,##0</c:formatCode>
                <c:ptCount val="2"/>
                <c:pt idx="0">
                  <c:v>3349064000</c:v>
                </c:pt>
                <c:pt idx="1">
                  <c:v>10256120455</c:v>
                </c:pt>
              </c:numCache>
            </c:numRef>
          </c:val>
        </c:ser>
        <c:dLbls>
          <c:showLegendKey val="0"/>
          <c:showVal val="0"/>
          <c:showCatName val="0"/>
          <c:showSerName val="0"/>
          <c:showPercent val="0"/>
          <c:showBubbleSize val="0"/>
          <c:showLeaderLines val="0"/>
        </c:dLbls>
      </c:pie3DChart>
      <c:spPr>
        <a:noFill/>
        <a:ln w="25400">
          <a:noFill/>
        </a:ln>
      </c:spPr>
    </c:plotArea>
    <c:legend>
      <c:legendPos val="r"/>
      <c:layout>
        <c:manualLayout>
          <c:xMode val="edge"/>
          <c:yMode val="edge"/>
          <c:x val="0.6871628388223624"/>
          <c:y val="0.31864495751590372"/>
          <c:w val="0.28571499765061015"/>
          <c:h val="0.47118777525690647"/>
        </c:manualLayout>
      </c:layout>
      <c:overlay val="0"/>
    </c:legend>
    <c:plotVisOnly val="1"/>
    <c:dispBlanksAs val="gap"/>
    <c:showDLblsOverMax val="0"/>
  </c:chart>
  <c:spPr>
    <a:blipFill>
      <a:blip xmlns:r="http://schemas.openxmlformats.org/officeDocument/2006/relationships" r:embed="rId1"/>
      <a:tile tx="0" ty="0" sx="100000" sy="100000" flip="none" algn="tl"/>
    </a:blipFill>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GASTOS DE FUNCIONAMIENTO</a:t>
            </a:r>
          </a:p>
        </c:rich>
      </c:tx>
      <c:layout/>
      <c:overlay val="0"/>
    </c:title>
    <c:autoTitleDeleted val="0"/>
    <c:plotArea>
      <c:layout/>
      <c:pieChart>
        <c:varyColors val="1"/>
        <c:ser>
          <c:idx val="0"/>
          <c:order val="0"/>
          <c:tx>
            <c:strRef>
              <c:f>Hoja1!$B$1</c:f>
              <c:strCache>
                <c:ptCount val="1"/>
                <c:pt idx="0">
                  <c:v>Columna1</c:v>
                </c:pt>
              </c:strCache>
            </c:strRef>
          </c:tx>
          <c:dLbls>
            <c:dLbl>
              <c:idx val="0"/>
              <c:layout/>
              <c:tx>
                <c:rich>
                  <a:bodyPr/>
                  <a:lstStyle/>
                  <a:p>
                    <a:r>
                      <a:rPr lang="en-US"/>
                      <a:t>Servicios Personales 
60.85%</a:t>
                    </a:r>
                  </a:p>
                </c:rich>
              </c:tx>
              <c:showLegendKey val="0"/>
              <c:showVal val="0"/>
              <c:showCatName val="1"/>
              <c:showSerName val="0"/>
              <c:showPercent val="1"/>
              <c:showBubbleSize val="0"/>
              <c:extLst>
                <c:ext xmlns:c15="http://schemas.microsoft.com/office/drawing/2012/chart" uri="{CE6537A1-D6FC-4f65-9D91-7224C49458BB}">
                  <c15:layout/>
                </c:ext>
              </c:extLst>
            </c:dLbl>
            <c:dLbl>
              <c:idx val="1"/>
              <c:layout>
                <c:manualLayout>
                  <c:x val="0.10471128608923884"/>
                  <c:y val="-7.2711461067366576E-2"/>
                </c:manualLayout>
              </c:layout>
              <c:tx>
                <c:rich>
                  <a:bodyPr/>
                  <a:lstStyle/>
                  <a:p>
                    <a:r>
                      <a:rPr lang="en-US"/>
                      <a:t>Gastos Generales
11.92%</a:t>
                    </a:r>
                  </a:p>
                </c:rich>
              </c:tx>
              <c:showLegendKey val="0"/>
              <c:showVal val="0"/>
              <c:showCatName val="1"/>
              <c:showSerName val="0"/>
              <c:showPercent val="1"/>
              <c:showBubbleSize val="0"/>
              <c:extLst>
                <c:ext xmlns:c15="http://schemas.microsoft.com/office/drawing/2012/chart" uri="{CE6537A1-D6FC-4f65-9D91-7224C49458BB}">
                  <c15:layout/>
                </c:ext>
              </c:extLst>
            </c:dLbl>
            <c:dLbl>
              <c:idx val="2"/>
              <c:layout>
                <c:manualLayout>
                  <c:x val="0.12222167541557301"/>
                  <c:y val="0.17457707786526686"/>
                </c:manualLayout>
              </c:layout>
              <c:tx>
                <c:rich>
                  <a:bodyPr/>
                  <a:lstStyle/>
                  <a:p>
                    <a:r>
                      <a:rPr lang="en-US"/>
                      <a:t>Transferencias
27.23%</a:t>
                    </a:r>
                  </a:p>
                </c:rich>
              </c:tx>
              <c:showLegendKey val="0"/>
              <c:showVal val="0"/>
              <c:showCatName val="1"/>
              <c:showSerName val="0"/>
              <c:showPercent val="1"/>
              <c:showBubbleSize val="0"/>
              <c:extLst>
                <c:ext xmlns:c15="http://schemas.microsoft.com/office/drawing/2012/chart" uri="{CE6537A1-D6FC-4f65-9D91-7224C49458BB}">
                  <c15:layout/>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Hoja1!$A$2:$A$4</c:f>
              <c:strCache>
                <c:ptCount val="3"/>
                <c:pt idx="0">
                  <c:v>Servicios Personales </c:v>
                </c:pt>
                <c:pt idx="1">
                  <c:v>Gastos Generales</c:v>
                </c:pt>
                <c:pt idx="2">
                  <c:v>Transferencias</c:v>
                </c:pt>
              </c:strCache>
            </c:strRef>
          </c:cat>
          <c:val>
            <c:numRef>
              <c:f>Hoja1!$B$2:$B$4</c:f>
              <c:numCache>
                <c:formatCode>General</c:formatCode>
                <c:ptCount val="3"/>
                <c:pt idx="0">
                  <c:v>60.85</c:v>
                </c:pt>
                <c:pt idx="1">
                  <c:v>11.93</c:v>
                </c:pt>
                <c:pt idx="2">
                  <c:v>27.23</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Hoja1!$B$1</c:f>
              <c:strCache>
                <c:ptCount val="1"/>
                <c:pt idx="0">
                  <c:v>Ppto Inicial</c:v>
                </c:pt>
              </c:strCache>
            </c:strRef>
          </c:tx>
          <c:invertIfNegative val="0"/>
          <c:cat>
            <c:strRef>
              <c:f>Hoja1!$A$2:$A$3</c:f>
              <c:strCache>
                <c:ptCount val="2"/>
                <c:pt idx="0">
                  <c:v>Gastos de Funcionamiento</c:v>
                </c:pt>
                <c:pt idx="1">
                  <c:v>Gastos de Inversion</c:v>
                </c:pt>
              </c:strCache>
            </c:strRef>
          </c:cat>
          <c:val>
            <c:numRef>
              <c:f>Hoja1!$B$2:$B$3</c:f>
              <c:numCache>
                <c:formatCode>_(* #,##0.00_);_(* \(#,##0.00\);_(* "-"??_);_(@_)</c:formatCode>
                <c:ptCount val="2"/>
                <c:pt idx="0">
                  <c:v>3378</c:v>
                </c:pt>
                <c:pt idx="1">
                  <c:v>7948</c:v>
                </c:pt>
              </c:numCache>
            </c:numRef>
          </c:val>
        </c:ser>
        <c:ser>
          <c:idx val="1"/>
          <c:order val="1"/>
          <c:tx>
            <c:strRef>
              <c:f>Hoja1!$C$1</c:f>
              <c:strCache>
                <c:ptCount val="1"/>
                <c:pt idx="0">
                  <c:v>Reducciones</c:v>
                </c:pt>
              </c:strCache>
            </c:strRef>
          </c:tx>
          <c:invertIfNegative val="0"/>
          <c:cat>
            <c:strRef>
              <c:f>Hoja1!$A$2:$A$3</c:f>
              <c:strCache>
                <c:ptCount val="2"/>
                <c:pt idx="0">
                  <c:v>Gastos de Funcionamiento</c:v>
                </c:pt>
                <c:pt idx="1">
                  <c:v>Gastos de Inversion</c:v>
                </c:pt>
              </c:strCache>
            </c:strRef>
          </c:cat>
          <c:val>
            <c:numRef>
              <c:f>Hoja1!$C$2:$C$3</c:f>
              <c:numCache>
                <c:formatCode>_(* #,##0.00_);_(* \(#,##0.00\);_(* "-"??_);_(@_)</c:formatCode>
                <c:ptCount val="2"/>
                <c:pt idx="1">
                  <c:v>56</c:v>
                </c:pt>
              </c:numCache>
            </c:numRef>
          </c:val>
        </c:ser>
        <c:ser>
          <c:idx val="2"/>
          <c:order val="2"/>
          <c:tx>
            <c:strRef>
              <c:f>Hoja1!$D$1</c:f>
              <c:strCache>
                <c:ptCount val="1"/>
                <c:pt idx="0">
                  <c:v>Adiciones</c:v>
                </c:pt>
              </c:strCache>
            </c:strRef>
          </c:tx>
          <c:invertIfNegative val="0"/>
          <c:cat>
            <c:strRef>
              <c:f>Hoja1!$A$2:$A$3</c:f>
              <c:strCache>
                <c:ptCount val="2"/>
                <c:pt idx="0">
                  <c:v>Gastos de Funcionamiento</c:v>
                </c:pt>
                <c:pt idx="1">
                  <c:v>Gastos de Inversion</c:v>
                </c:pt>
              </c:strCache>
            </c:strRef>
          </c:cat>
          <c:val>
            <c:numRef>
              <c:f>Hoja1!$D$2:$D$3</c:f>
              <c:numCache>
                <c:formatCode>_(* #,##0.00_);_(* \(#,##0.00\);_(* "-"??_);_(@_)</c:formatCode>
                <c:ptCount val="2"/>
                <c:pt idx="0">
                  <c:v>438</c:v>
                </c:pt>
                <c:pt idx="1">
                  <c:v>19844</c:v>
                </c:pt>
              </c:numCache>
            </c:numRef>
          </c:val>
        </c:ser>
        <c:ser>
          <c:idx val="3"/>
          <c:order val="3"/>
          <c:tx>
            <c:strRef>
              <c:f>Hoja1!$E$1</c:f>
              <c:strCache>
                <c:ptCount val="1"/>
                <c:pt idx="0">
                  <c:v>Ppto Definitivo</c:v>
                </c:pt>
              </c:strCache>
            </c:strRef>
          </c:tx>
          <c:invertIfNegative val="0"/>
          <c:cat>
            <c:strRef>
              <c:f>Hoja1!$A$2:$A$3</c:f>
              <c:strCache>
                <c:ptCount val="2"/>
                <c:pt idx="0">
                  <c:v>Gastos de Funcionamiento</c:v>
                </c:pt>
                <c:pt idx="1">
                  <c:v>Gastos de Inversion</c:v>
                </c:pt>
              </c:strCache>
            </c:strRef>
          </c:cat>
          <c:val>
            <c:numRef>
              <c:f>Hoja1!$E$2:$E$3</c:f>
              <c:numCache>
                <c:formatCode>_(* #,##0.00_);_(* \(#,##0.00\);_(* "-"??_);_(@_)</c:formatCode>
                <c:ptCount val="2"/>
                <c:pt idx="0">
                  <c:v>3779</c:v>
                </c:pt>
                <c:pt idx="1">
                  <c:v>27773</c:v>
                </c:pt>
              </c:numCache>
            </c:numRef>
          </c:val>
        </c:ser>
        <c:dLbls>
          <c:showLegendKey val="0"/>
          <c:showVal val="0"/>
          <c:showCatName val="0"/>
          <c:showSerName val="0"/>
          <c:showPercent val="0"/>
          <c:showBubbleSize val="0"/>
        </c:dLbls>
        <c:gapWidth val="150"/>
        <c:axId val="1200311824"/>
        <c:axId val="1200317264"/>
      </c:barChart>
      <c:catAx>
        <c:axId val="1200311824"/>
        <c:scaling>
          <c:orientation val="minMax"/>
        </c:scaling>
        <c:delete val="0"/>
        <c:axPos val="b"/>
        <c:numFmt formatCode="General" sourceLinked="0"/>
        <c:majorTickMark val="out"/>
        <c:minorTickMark val="none"/>
        <c:tickLblPos val="nextTo"/>
        <c:crossAx val="1200317264"/>
        <c:crosses val="autoZero"/>
        <c:auto val="1"/>
        <c:lblAlgn val="ctr"/>
        <c:lblOffset val="100"/>
        <c:noMultiLvlLbl val="0"/>
      </c:catAx>
      <c:valAx>
        <c:axId val="1200317264"/>
        <c:scaling>
          <c:orientation val="minMax"/>
        </c:scaling>
        <c:delete val="0"/>
        <c:axPos val="l"/>
        <c:majorGridlines/>
        <c:numFmt formatCode="_(* #,##0.00_);_(* \(#,##0.00\);_(* &quot;-&quot;??_);_(@_)" sourceLinked="1"/>
        <c:majorTickMark val="out"/>
        <c:minorTickMark val="none"/>
        <c:tickLblPos val="nextTo"/>
        <c:crossAx val="1200311824"/>
        <c:crosses val="autoZero"/>
        <c:crossBetween val="between"/>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42CB2-D553-433B-A574-89ABFD9A5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7597</TotalTime>
  <Pages>17</Pages>
  <Words>2179</Words>
  <Characters>11987</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14138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 de Windows</dc:creator>
  <cp:lastModifiedBy>USER</cp:lastModifiedBy>
  <cp:revision>223</cp:revision>
  <cp:lastPrinted>2016-12-25T22:29:00Z</cp:lastPrinted>
  <dcterms:created xsi:type="dcterms:W3CDTF">2016-07-21T21:23:00Z</dcterms:created>
  <dcterms:modified xsi:type="dcterms:W3CDTF">2016-12-25T22:29:00Z</dcterms:modified>
</cp:coreProperties>
</file>