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784B5E" w:rsidP="00AD4CE9">
      <w:pPr>
        <w:spacing w:before="0" w:after="0" w:line="228" w:lineRule="auto"/>
        <w:rPr>
          <w:rFonts w:ascii="Tahoma" w:hAnsi="Tahoma" w:cs="Tahoma"/>
          <w:noProof/>
        </w:rPr>
      </w:pPr>
      <w:r w:rsidRPr="00784B5E">
        <w:rPr>
          <w:noProof/>
        </w:rPr>
        <w:drawing>
          <wp:inline distT="0" distB="0" distL="0" distR="0" wp14:anchorId="14E0CE88" wp14:editId="0F5FF108">
            <wp:extent cx="5613400" cy="4959412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959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26DAC" w:rsidRDefault="00784B5E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2E1C742B">
            <wp:extent cx="4189863" cy="2543405"/>
            <wp:effectExtent l="0" t="0" r="127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699" cy="2546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AB64E3" w:rsidRPr="00AB64E3" w:rsidRDefault="00AE7455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B64E3">
        <w:rPr>
          <w:rFonts w:ascii="Tahoma" w:hAnsi="Tahoma" w:cs="Tahoma"/>
          <w:color w:val="auto"/>
        </w:rPr>
        <w:t>La A</w:t>
      </w:r>
      <w:r w:rsidR="00C26DAC" w:rsidRPr="00AB64E3">
        <w:rPr>
          <w:rFonts w:ascii="Tahoma" w:hAnsi="Tahoma" w:cs="Tahoma"/>
          <w:color w:val="auto"/>
        </w:rPr>
        <w:t>d</w:t>
      </w:r>
      <w:r w:rsidR="00784B5E" w:rsidRPr="00AB64E3">
        <w:rPr>
          <w:rFonts w:ascii="Tahoma" w:hAnsi="Tahoma" w:cs="Tahoma"/>
          <w:color w:val="auto"/>
        </w:rPr>
        <w:t>ministración Municipal de Valle de San Juan</w:t>
      </w:r>
      <w:r w:rsidRPr="00AB64E3">
        <w:rPr>
          <w:rFonts w:ascii="Tahoma" w:hAnsi="Tahoma" w:cs="Tahoma"/>
          <w:color w:val="auto"/>
        </w:rPr>
        <w:t>, refleja en el Balance General Comparativo</w:t>
      </w:r>
      <w:r w:rsidR="00784B5E" w:rsidRPr="00AB64E3">
        <w:rPr>
          <w:rFonts w:ascii="Tahoma" w:hAnsi="Tahoma" w:cs="Tahoma"/>
          <w:color w:val="auto"/>
        </w:rPr>
        <w:t xml:space="preserve"> (Vigencias 2014-2015), </w:t>
      </w:r>
      <w:r w:rsidRPr="00AB64E3">
        <w:rPr>
          <w:rFonts w:ascii="Tahoma" w:hAnsi="Tahoma" w:cs="Tahoma"/>
          <w:color w:val="auto"/>
        </w:rPr>
        <w:t xml:space="preserve">que los Activos del </w:t>
      </w:r>
      <w:r w:rsidR="00C26DAC" w:rsidRPr="00AB64E3">
        <w:rPr>
          <w:rFonts w:ascii="Tahoma" w:hAnsi="Tahoma" w:cs="Tahoma"/>
          <w:color w:val="auto"/>
        </w:rPr>
        <w:t xml:space="preserve"> municipio</w:t>
      </w:r>
      <w:r w:rsidR="00784B5E" w:rsidRPr="00AB64E3">
        <w:rPr>
          <w:rFonts w:ascii="Tahoma" w:hAnsi="Tahoma" w:cs="Tahoma"/>
          <w:color w:val="auto"/>
        </w:rPr>
        <w:t xml:space="preserve"> durante las</w:t>
      </w:r>
      <w:r w:rsidR="00AB64E3" w:rsidRPr="00AB64E3">
        <w:rPr>
          <w:rFonts w:ascii="Tahoma" w:hAnsi="Tahoma" w:cs="Tahoma"/>
          <w:color w:val="auto"/>
        </w:rPr>
        <w:t xml:space="preserve"> vigencias auditadas, incrementaron su saldo en $2.890,1 millones, equivalente a un crecimiento porcentual del 30.19%, al pasar de un saldo obtenido en el 2014 de ($9.572,4 millones) al resultado obtenido al cierre de la anualidad 2015 cuantificado en ($12.462,6 millones).</w:t>
      </w:r>
    </w:p>
    <w:p w:rsidR="00AB64E3" w:rsidRDefault="00AB64E3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5C0F5C" w:rsidRPr="005C0F5C" w:rsidRDefault="00AB64E3" w:rsidP="005C0F5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5C0F5C">
        <w:rPr>
          <w:rFonts w:ascii="Tahoma" w:hAnsi="Tahoma" w:cs="Tahoma"/>
          <w:color w:val="auto"/>
        </w:rPr>
        <w:t>Al igual que los activos, el Pasivo del Municipio de Valle de San Juan durante el mismo tiempo de comparación (2014-2015) incrementó su crecimiento porcentual al 53.63%, pasando de registrar en el 2014 pasivos en cuantía de ($</w:t>
      </w:r>
      <w:r w:rsidRPr="005C0F5C">
        <w:rPr>
          <w:rFonts w:eastAsia="Times New Roman"/>
          <w:color w:val="auto"/>
        </w:rPr>
        <w:t xml:space="preserve">4.670.6 millones) a un pasivo en el 2015 de </w:t>
      </w:r>
      <w:r w:rsidR="005C0F5C" w:rsidRPr="005C0F5C">
        <w:rPr>
          <w:rFonts w:eastAsia="Times New Roman"/>
          <w:color w:val="auto"/>
        </w:rPr>
        <w:t xml:space="preserve">($7.175.5 millones), dejando de ver de esta forma el </w:t>
      </w:r>
      <w:r w:rsidR="005C0F5C" w:rsidRPr="005C0F5C">
        <w:rPr>
          <w:rFonts w:ascii="Tahoma" w:hAnsi="Tahoma" w:cs="Tahoma"/>
          <w:color w:val="auto"/>
        </w:rPr>
        <w:t xml:space="preserve"> poco crecimiento del índice de propiedad que viene gestando el Ente Municipal.</w:t>
      </w:r>
    </w:p>
    <w:p w:rsidR="005C0F5C" w:rsidRDefault="005C0F5C" w:rsidP="005C0F5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5C0F5C" w:rsidRPr="00C26DAC" w:rsidRDefault="005C0F5C" w:rsidP="005C0F5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En el Balance General Comparativo de las vigencias 2014 y 2015, reflejan que el </w:t>
      </w:r>
      <w:r w:rsidRPr="00C26DAC">
        <w:rPr>
          <w:rFonts w:ascii="Tahoma" w:hAnsi="Tahoma" w:cs="Tahoma"/>
          <w:color w:val="auto"/>
        </w:rPr>
        <w:t xml:space="preserve"> Total de Activos a Diciembre</w:t>
      </w:r>
      <w:r>
        <w:rPr>
          <w:rFonts w:ascii="Tahoma" w:hAnsi="Tahoma" w:cs="Tahoma"/>
          <w:color w:val="auto"/>
        </w:rPr>
        <w:t xml:space="preserve"> 31 de 2015 ascendió a $12.462,6 </w:t>
      </w:r>
      <w:r w:rsidRPr="00C26DAC">
        <w:rPr>
          <w:rFonts w:ascii="Tahoma" w:hAnsi="Tahoma" w:cs="Tahoma"/>
          <w:color w:val="auto"/>
        </w:rPr>
        <w:t>millones con un aumento del</w:t>
      </w:r>
      <w:r>
        <w:rPr>
          <w:rFonts w:ascii="Tahoma" w:hAnsi="Tahoma" w:cs="Tahoma"/>
          <w:color w:val="auto"/>
        </w:rPr>
        <w:t xml:space="preserve"> 30.19% ($2.890,1 </w:t>
      </w:r>
      <w:r w:rsidRPr="00C26DAC">
        <w:rPr>
          <w:rFonts w:ascii="Tahoma" w:hAnsi="Tahoma" w:cs="Tahoma"/>
          <w:color w:val="auto"/>
        </w:rPr>
        <w:t>millones) respecto al valor registrado en e</w:t>
      </w:r>
      <w:r w:rsidR="006B7638">
        <w:rPr>
          <w:rFonts w:ascii="Tahoma" w:hAnsi="Tahoma" w:cs="Tahoma"/>
          <w:color w:val="auto"/>
        </w:rPr>
        <w:t>l 2014 que ascendió a ($9.572,4</w:t>
      </w:r>
      <w:r w:rsidRPr="00C26DAC">
        <w:rPr>
          <w:rFonts w:ascii="Tahoma" w:hAnsi="Tahoma" w:cs="Tahoma"/>
          <w:color w:val="auto"/>
        </w:rPr>
        <w:t xml:space="preserve"> millones).</w:t>
      </w:r>
    </w:p>
    <w:p w:rsidR="005C0F5C" w:rsidRDefault="005C0F5C" w:rsidP="005C0F5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6B7638" w:rsidRPr="006B7638" w:rsidRDefault="006B7638" w:rsidP="006B7638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6B7638">
        <w:rPr>
          <w:rFonts w:ascii="Tahoma" w:hAnsi="Tahoma" w:cs="Tahoma"/>
          <w:color w:val="auto"/>
        </w:rPr>
        <w:t>Para la vigencia 2015, el Activo Corriente cuantificado en $2.673 millones  representa el 21.44% del total de los activos con una disminución  del 2014 al 2015 de $206,1 millones pasando de $2.879,2  millones en el 2014 a $2.673  millones en el 2015.</w:t>
      </w:r>
    </w:p>
    <w:p w:rsidR="006B7638" w:rsidRPr="006B7638" w:rsidRDefault="006B7638" w:rsidP="006B7638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AB64E3" w:rsidRPr="00C26DAC" w:rsidRDefault="006B763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BC0768">
        <w:rPr>
          <w:rFonts w:ascii="Tahoma" w:hAnsi="Tahoma" w:cs="Tahoma"/>
          <w:color w:val="auto"/>
        </w:rPr>
        <w:lastRenderedPageBreak/>
        <w:t xml:space="preserve">Dentro de este grupo resalta el decrecimiento que presentó el saldo de la cuenta de efectivo entre las vigencias 2014 y 2015, arrojando una disminución en el saldo de $227,4 millones (-17.81%) pasando de tener  en el 2014 un saldo de ($1.277,1 millones) a </w:t>
      </w:r>
      <w:r w:rsidRPr="00325332">
        <w:rPr>
          <w:rFonts w:ascii="Tahoma" w:hAnsi="Tahoma" w:cs="Tahoma"/>
          <w:color w:val="auto"/>
        </w:rPr>
        <w:t xml:space="preserve">registrar al cierre del periodo fiscal 2015 la </w:t>
      </w:r>
      <w:r>
        <w:rPr>
          <w:rFonts w:ascii="Tahoma" w:hAnsi="Tahoma" w:cs="Tahoma"/>
          <w:color w:val="auto"/>
        </w:rPr>
        <w:t>suma de $1.049,7</w:t>
      </w:r>
      <w:r w:rsidRPr="00325332">
        <w:rPr>
          <w:rFonts w:ascii="Tahoma" w:hAnsi="Tahoma" w:cs="Tahoma"/>
          <w:color w:val="auto"/>
        </w:rPr>
        <w:t xml:space="preserve"> millones.</w:t>
      </w:r>
      <w:r>
        <w:rPr>
          <w:rFonts w:ascii="Tahoma" w:hAnsi="Tahoma" w:cs="Tahoma"/>
          <w:color w:val="auto"/>
        </w:rPr>
        <w:t xml:space="preserve">  </w:t>
      </w:r>
      <w:r w:rsidRPr="00325332">
        <w:rPr>
          <w:rFonts w:ascii="Tahoma" w:hAnsi="Tahoma" w:cs="Tahoma"/>
          <w:color w:val="auto"/>
        </w:rPr>
        <w:t xml:space="preserve">Dentro </w:t>
      </w:r>
      <w:r w:rsidR="00BC0768">
        <w:rPr>
          <w:rFonts w:ascii="Tahoma" w:hAnsi="Tahoma" w:cs="Tahoma"/>
          <w:color w:val="auto"/>
        </w:rPr>
        <w:t>de este grupo se tiene que el 43.92</w:t>
      </w:r>
      <w:r w:rsidRPr="00325332">
        <w:rPr>
          <w:rFonts w:ascii="Tahoma" w:hAnsi="Tahoma" w:cs="Tahoma"/>
          <w:color w:val="auto"/>
        </w:rPr>
        <w:t>% de los recursos se encuentran consignados en cuent</w:t>
      </w:r>
      <w:r w:rsidR="00BC0768">
        <w:rPr>
          <w:rFonts w:ascii="Tahoma" w:hAnsi="Tahoma" w:cs="Tahoma"/>
          <w:color w:val="auto"/>
        </w:rPr>
        <w:t>as corrientes mientras que el 55.03% en cuentas de ahorro, y e</w:t>
      </w:r>
      <w:r w:rsidR="00DB74E9">
        <w:rPr>
          <w:rFonts w:ascii="Tahoma" w:hAnsi="Tahoma" w:cs="Tahoma"/>
          <w:color w:val="auto"/>
        </w:rPr>
        <w:t>l 0.19% como Fondos en Tránsito.</w:t>
      </w:r>
    </w:p>
    <w:p w:rsidR="00092432" w:rsidRPr="00C26DAC" w:rsidRDefault="00092432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1B4378" w:rsidRPr="00325332" w:rsidRDefault="001B437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25332">
        <w:rPr>
          <w:rFonts w:ascii="Tahoma" w:hAnsi="Tahoma" w:cs="Tahoma"/>
          <w:color w:val="auto"/>
        </w:rPr>
        <w:t xml:space="preserve">  La Cuenta de “Inversiones</w:t>
      </w:r>
      <w:r w:rsidR="00325332" w:rsidRPr="00325332">
        <w:rPr>
          <w:rFonts w:ascii="Tahoma" w:hAnsi="Tahoma" w:cs="Tahoma"/>
          <w:color w:val="auto"/>
        </w:rPr>
        <w:t xml:space="preserve"> e Instrumentos derivados” </w:t>
      </w:r>
      <w:r w:rsidRPr="00325332">
        <w:rPr>
          <w:rFonts w:ascii="Tahoma" w:hAnsi="Tahoma" w:cs="Tahoma"/>
          <w:color w:val="auto"/>
        </w:rPr>
        <w:t xml:space="preserve"> presentó </w:t>
      </w:r>
      <w:r w:rsidR="00325332" w:rsidRPr="00325332">
        <w:rPr>
          <w:rFonts w:ascii="Tahoma" w:hAnsi="Tahoma" w:cs="Tahoma"/>
          <w:color w:val="auto"/>
        </w:rPr>
        <w:t xml:space="preserve">un </w:t>
      </w:r>
      <w:r w:rsidR="00BC0768">
        <w:rPr>
          <w:rFonts w:ascii="Tahoma" w:hAnsi="Tahoma" w:cs="Tahoma"/>
          <w:color w:val="auto"/>
        </w:rPr>
        <w:t>de</w:t>
      </w:r>
      <w:r w:rsidR="00325332" w:rsidRPr="00325332">
        <w:rPr>
          <w:rFonts w:ascii="Tahoma" w:hAnsi="Tahoma" w:cs="Tahoma"/>
          <w:color w:val="auto"/>
        </w:rPr>
        <w:t>crecimiento porcentual del</w:t>
      </w:r>
      <w:r w:rsidR="00BC0768">
        <w:rPr>
          <w:rFonts w:ascii="Tahoma" w:hAnsi="Tahoma" w:cs="Tahoma"/>
          <w:color w:val="auto"/>
        </w:rPr>
        <w:t xml:space="preserve"> 100% al pasar de un saldo de $1.999</w:t>
      </w:r>
      <w:r w:rsidR="00325332" w:rsidRPr="00325332">
        <w:rPr>
          <w:rFonts w:ascii="Tahoma" w:hAnsi="Tahoma" w:cs="Tahoma"/>
          <w:color w:val="auto"/>
        </w:rPr>
        <w:t xml:space="preserve"> en el 2014 a registrar al cierre del periodo fiscal</w:t>
      </w:r>
      <w:r w:rsidR="00BC0768">
        <w:rPr>
          <w:rFonts w:ascii="Tahoma" w:hAnsi="Tahoma" w:cs="Tahoma"/>
          <w:color w:val="auto"/>
        </w:rPr>
        <w:t xml:space="preserve"> 2015  la suma de $0</w:t>
      </w:r>
    </w:p>
    <w:p w:rsidR="001B4378" w:rsidRPr="00325332" w:rsidRDefault="001B437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707DE0" w:rsidRDefault="001B437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521171">
        <w:rPr>
          <w:rFonts w:ascii="Tahoma" w:hAnsi="Tahoma" w:cs="Tahoma"/>
          <w:color w:val="auto"/>
        </w:rPr>
        <w:t>En cuanto a las Re</w:t>
      </w:r>
      <w:r w:rsidR="00325332" w:rsidRPr="00521171">
        <w:rPr>
          <w:rFonts w:ascii="Tahoma" w:hAnsi="Tahoma" w:cs="Tahoma"/>
          <w:color w:val="auto"/>
        </w:rPr>
        <w:t xml:space="preserve">ntas por Cobrar se determina un </w:t>
      </w:r>
      <w:r w:rsidR="00521171" w:rsidRPr="00521171">
        <w:rPr>
          <w:rFonts w:ascii="Tahoma" w:hAnsi="Tahoma" w:cs="Tahoma"/>
          <w:color w:val="auto"/>
        </w:rPr>
        <w:t>de</w:t>
      </w:r>
      <w:r w:rsidR="00325332" w:rsidRPr="00521171">
        <w:rPr>
          <w:rFonts w:ascii="Tahoma" w:hAnsi="Tahoma" w:cs="Tahoma"/>
          <w:color w:val="auto"/>
        </w:rPr>
        <w:t xml:space="preserve">crecimiento entre las vigencias 2014 y 2015  </w:t>
      </w:r>
      <w:r w:rsidR="00A03D09" w:rsidRPr="00521171">
        <w:rPr>
          <w:rFonts w:ascii="Tahoma" w:hAnsi="Tahoma" w:cs="Tahoma"/>
          <w:color w:val="auto"/>
        </w:rPr>
        <w:t xml:space="preserve">del </w:t>
      </w:r>
      <w:r w:rsidR="00325332" w:rsidRPr="00521171">
        <w:rPr>
          <w:rFonts w:ascii="Tahoma" w:hAnsi="Tahoma" w:cs="Tahoma"/>
          <w:color w:val="auto"/>
        </w:rPr>
        <w:t xml:space="preserve"> </w:t>
      </w:r>
      <w:r w:rsidR="00521171" w:rsidRPr="00521171">
        <w:rPr>
          <w:rFonts w:ascii="Tahoma" w:hAnsi="Tahoma" w:cs="Tahoma"/>
          <w:color w:val="auto"/>
        </w:rPr>
        <w:t xml:space="preserve">-2.43% ($26,9 </w:t>
      </w:r>
      <w:r w:rsidR="00325332" w:rsidRPr="00521171">
        <w:rPr>
          <w:rFonts w:ascii="Tahoma" w:hAnsi="Tahoma" w:cs="Tahoma"/>
          <w:color w:val="auto"/>
        </w:rPr>
        <w:t xml:space="preserve"> millones)</w:t>
      </w:r>
      <w:r w:rsidRPr="00521171">
        <w:rPr>
          <w:rFonts w:ascii="Tahoma" w:hAnsi="Tahoma" w:cs="Tahoma"/>
          <w:color w:val="auto"/>
        </w:rPr>
        <w:t xml:space="preserve"> </w:t>
      </w:r>
      <w:r w:rsidR="00A03D09" w:rsidRPr="00521171">
        <w:rPr>
          <w:rFonts w:ascii="Tahoma" w:hAnsi="Tahoma" w:cs="Tahoma"/>
          <w:color w:val="auto"/>
        </w:rPr>
        <w:t xml:space="preserve"> pasando de</w:t>
      </w:r>
      <w:r w:rsidR="00521171" w:rsidRPr="00521171">
        <w:rPr>
          <w:rFonts w:ascii="Tahoma" w:hAnsi="Tahoma" w:cs="Tahoma"/>
          <w:color w:val="auto"/>
        </w:rPr>
        <w:t xml:space="preserve"> $1.108,2 millones en el 2014 a $1.081,2</w:t>
      </w:r>
      <w:r w:rsidRPr="00521171">
        <w:rPr>
          <w:rFonts w:ascii="Tahoma" w:hAnsi="Tahoma" w:cs="Tahoma"/>
          <w:color w:val="auto"/>
        </w:rPr>
        <w:t xml:space="preserve"> millones e</w:t>
      </w:r>
      <w:r w:rsidR="00A03D09" w:rsidRPr="00521171">
        <w:rPr>
          <w:rFonts w:ascii="Tahoma" w:hAnsi="Tahoma" w:cs="Tahoma"/>
          <w:color w:val="auto"/>
        </w:rPr>
        <w:t xml:space="preserve">n el 2015; </w:t>
      </w:r>
      <w:r w:rsidR="00521171" w:rsidRPr="00521171">
        <w:rPr>
          <w:rFonts w:ascii="Tahoma" w:hAnsi="Tahoma" w:cs="Tahoma"/>
          <w:color w:val="auto"/>
        </w:rPr>
        <w:t>se observa que el 4.97</w:t>
      </w:r>
      <w:r w:rsidRPr="00521171">
        <w:rPr>
          <w:rFonts w:ascii="Tahoma" w:hAnsi="Tahoma" w:cs="Tahoma"/>
          <w:color w:val="auto"/>
        </w:rPr>
        <w:t xml:space="preserve">% </w:t>
      </w:r>
      <w:r w:rsidR="00F161D1" w:rsidRPr="00521171">
        <w:rPr>
          <w:rFonts w:ascii="Tahoma" w:hAnsi="Tahoma" w:cs="Tahoma"/>
          <w:color w:val="auto"/>
        </w:rPr>
        <w:t>del val</w:t>
      </w:r>
      <w:r w:rsidR="00521171" w:rsidRPr="00521171">
        <w:rPr>
          <w:rFonts w:ascii="Tahoma" w:hAnsi="Tahoma" w:cs="Tahoma"/>
          <w:color w:val="auto"/>
        </w:rPr>
        <w:t>or registrado ($53,7</w:t>
      </w:r>
      <w:r w:rsidR="00A03D09" w:rsidRPr="00521171">
        <w:rPr>
          <w:rFonts w:ascii="Tahoma" w:hAnsi="Tahoma" w:cs="Tahoma"/>
          <w:color w:val="auto"/>
        </w:rPr>
        <w:t xml:space="preserve"> millones</w:t>
      </w:r>
      <w:r w:rsidR="00F161D1" w:rsidRPr="00521171">
        <w:rPr>
          <w:rFonts w:ascii="Tahoma" w:hAnsi="Tahoma" w:cs="Tahoma"/>
          <w:color w:val="auto"/>
        </w:rPr>
        <w:t>) co</w:t>
      </w:r>
      <w:r w:rsidR="00A03D09" w:rsidRPr="00521171">
        <w:rPr>
          <w:rFonts w:ascii="Tahoma" w:hAnsi="Tahoma" w:cs="Tahoma"/>
          <w:color w:val="auto"/>
        </w:rPr>
        <w:t>rresponde a vigenci</w:t>
      </w:r>
      <w:r w:rsidR="00521171" w:rsidRPr="00521171">
        <w:rPr>
          <w:rFonts w:ascii="Tahoma" w:hAnsi="Tahoma" w:cs="Tahoma"/>
          <w:color w:val="auto"/>
        </w:rPr>
        <w:t>a actual, saldo que p</w:t>
      </w:r>
      <w:r w:rsidR="00903D77">
        <w:rPr>
          <w:rFonts w:ascii="Tahoma" w:hAnsi="Tahoma" w:cs="Tahoma"/>
          <w:color w:val="auto"/>
        </w:rPr>
        <w:t>resento un crecimiento del 9.77% representados en ($48</w:t>
      </w:r>
      <w:r w:rsidR="00521171" w:rsidRPr="00521171">
        <w:rPr>
          <w:rFonts w:ascii="Tahoma" w:hAnsi="Tahoma" w:cs="Tahoma"/>
          <w:color w:val="auto"/>
        </w:rPr>
        <w:t>,</w:t>
      </w:r>
      <w:r w:rsidR="00903D77">
        <w:rPr>
          <w:rFonts w:ascii="Tahoma" w:hAnsi="Tahoma" w:cs="Tahoma"/>
          <w:color w:val="auto"/>
        </w:rPr>
        <w:t>2 m</w:t>
      </w:r>
      <w:r w:rsidR="00521171" w:rsidRPr="00521171">
        <w:rPr>
          <w:rFonts w:ascii="Tahoma" w:hAnsi="Tahoma" w:cs="Tahoma"/>
          <w:color w:val="auto"/>
        </w:rPr>
        <w:t xml:space="preserve">illones) </w:t>
      </w:r>
      <w:r w:rsidR="00A03D09" w:rsidRPr="00521171">
        <w:rPr>
          <w:rFonts w:ascii="Tahoma" w:hAnsi="Tahoma" w:cs="Tahoma"/>
          <w:color w:val="auto"/>
        </w:rPr>
        <w:t xml:space="preserve">entre las dos </w:t>
      </w:r>
      <w:r w:rsidR="00707DE0">
        <w:rPr>
          <w:rFonts w:ascii="Tahoma" w:hAnsi="Tahoma" w:cs="Tahoma"/>
          <w:color w:val="auto"/>
        </w:rPr>
        <w:t>vigencias.</w:t>
      </w:r>
      <w:r w:rsidR="00521171" w:rsidRPr="00521171">
        <w:rPr>
          <w:rFonts w:ascii="Tahoma" w:hAnsi="Tahoma" w:cs="Tahoma"/>
          <w:color w:val="auto"/>
        </w:rPr>
        <w:t xml:space="preserve">  </w:t>
      </w:r>
    </w:p>
    <w:p w:rsidR="00707DE0" w:rsidRDefault="00707DE0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A03D09" w:rsidRPr="00DB74E9" w:rsidRDefault="00F161D1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03D09">
        <w:rPr>
          <w:rFonts w:ascii="Tahoma" w:hAnsi="Tahoma" w:cs="Tahoma"/>
          <w:color w:val="auto"/>
        </w:rPr>
        <w:t>La</w:t>
      </w:r>
      <w:r w:rsidR="00171674" w:rsidRPr="00A03D09">
        <w:rPr>
          <w:rFonts w:ascii="Tahoma" w:hAnsi="Tahoma" w:cs="Tahoma"/>
          <w:color w:val="auto"/>
        </w:rPr>
        <w:t xml:space="preserve"> participación de la </w:t>
      </w:r>
      <w:r w:rsidRPr="00A03D09">
        <w:rPr>
          <w:rFonts w:ascii="Tahoma" w:hAnsi="Tahoma" w:cs="Tahoma"/>
          <w:color w:val="auto"/>
        </w:rPr>
        <w:t xml:space="preserve"> cuenta “Deudores” </w:t>
      </w:r>
      <w:r w:rsidR="00171674" w:rsidRPr="00A03D09">
        <w:rPr>
          <w:rFonts w:ascii="Tahoma" w:hAnsi="Tahoma" w:cs="Tahoma"/>
          <w:color w:val="auto"/>
        </w:rPr>
        <w:t>e</w:t>
      </w:r>
      <w:r w:rsidRPr="00A03D09">
        <w:rPr>
          <w:rFonts w:ascii="Tahoma" w:hAnsi="Tahoma" w:cs="Tahoma"/>
          <w:color w:val="auto"/>
        </w:rPr>
        <w:t xml:space="preserve">n </w:t>
      </w:r>
      <w:r w:rsidR="00A13B27">
        <w:rPr>
          <w:rFonts w:ascii="Tahoma" w:hAnsi="Tahoma" w:cs="Tahoma"/>
          <w:color w:val="auto"/>
        </w:rPr>
        <w:t>el total del activo es del 4.50</w:t>
      </w:r>
      <w:r w:rsidRPr="00A03D09">
        <w:rPr>
          <w:rFonts w:ascii="Tahoma" w:hAnsi="Tahoma" w:cs="Tahoma"/>
          <w:color w:val="auto"/>
        </w:rPr>
        <w:t>%</w:t>
      </w:r>
      <w:r w:rsidR="00A13B27">
        <w:rPr>
          <w:rFonts w:ascii="Tahoma" w:hAnsi="Tahoma" w:cs="Tahoma"/>
          <w:color w:val="auto"/>
        </w:rPr>
        <w:t xml:space="preserve">, aumentando </w:t>
      </w:r>
      <w:r w:rsidR="00903D77">
        <w:rPr>
          <w:rFonts w:ascii="Tahoma" w:hAnsi="Tahoma" w:cs="Tahoma"/>
          <w:color w:val="auto"/>
        </w:rPr>
        <w:t>el valor registrado al final de la vigencia</w:t>
      </w:r>
      <w:r w:rsidR="00A13B27">
        <w:rPr>
          <w:rFonts w:ascii="Tahoma" w:hAnsi="Tahoma" w:cs="Tahoma"/>
          <w:color w:val="auto"/>
        </w:rPr>
        <w:t xml:space="preserve"> 2014</w:t>
      </w:r>
      <w:r w:rsidR="00903D77">
        <w:rPr>
          <w:rFonts w:ascii="Tahoma" w:hAnsi="Tahoma" w:cs="Tahoma"/>
          <w:color w:val="auto"/>
        </w:rPr>
        <w:t xml:space="preserve"> ($493,8 millones) en $48,2 millones, totalizando para el 2015</w:t>
      </w:r>
      <w:r w:rsidR="00A13B27">
        <w:rPr>
          <w:rFonts w:ascii="Tahoma" w:hAnsi="Tahoma" w:cs="Tahoma"/>
          <w:color w:val="auto"/>
        </w:rPr>
        <w:t xml:space="preserve"> la suma de $</w:t>
      </w:r>
      <w:r w:rsidR="00903D77">
        <w:rPr>
          <w:rFonts w:ascii="Tahoma" w:hAnsi="Tahoma" w:cs="Tahoma"/>
          <w:color w:val="auto"/>
        </w:rPr>
        <w:t>542 millones</w:t>
      </w:r>
      <w:r w:rsidR="00906002" w:rsidRPr="00A03D09">
        <w:rPr>
          <w:rFonts w:ascii="Tahoma" w:hAnsi="Tahoma" w:cs="Tahoma"/>
          <w:color w:val="auto"/>
        </w:rPr>
        <w:t xml:space="preserve">, cifra que representa un </w:t>
      </w:r>
      <w:r w:rsidR="00707DE0">
        <w:rPr>
          <w:rFonts w:ascii="Tahoma" w:hAnsi="Tahoma" w:cs="Tahoma"/>
          <w:color w:val="auto"/>
        </w:rPr>
        <w:t>crecimiento porcentual del 9.77</w:t>
      </w:r>
      <w:r w:rsidR="00906002" w:rsidRPr="00A03D09">
        <w:rPr>
          <w:rFonts w:ascii="Tahoma" w:hAnsi="Tahoma" w:cs="Tahoma"/>
          <w:color w:val="auto"/>
        </w:rPr>
        <w:t xml:space="preserve">% alcanzando en la vigencia 2014 un saldo de </w:t>
      </w:r>
      <w:r w:rsidR="00707DE0">
        <w:rPr>
          <w:rFonts w:ascii="Tahoma" w:hAnsi="Tahoma" w:cs="Tahoma"/>
          <w:color w:val="auto"/>
        </w:rPr>
        <w:t>$493,8</w:t>
      </w:r>
      <w:r w:rsidR="00906002" w:rsidRPr="00A03D09">
        <w:rPr>
          <w:rFonts w:ascii="Tahoma" w:hAnsi="Tahoma" w:cs="Tahoma"/>
          <w:color w:val="auto"/>
        </w:rPr>
        <w:t xml:space="preserve"> millones y finalizando el</w:t>
      </w:r>
      <w:r w:rsidR="00707DE0">
        <w:rPr>
          <w:rFonts w:ascii="Tahoma" w:hAnsi="Tahoma" w:cs="Tahoma"/>
          <w:color w:val="auto"/>
        </w:rPr>
        <w:t xml:space="preserve"> periodo fiscal 2015 en $542 </w:t>
      </w:r>
      <w:r w:rsidR="00906002" w:rsidRPr="00A03D09">
        <w:rPr>
          <w:rFonts w:ascii="Tahoma" w:hAnsi="Tahoma" w:cs="Tahoma"/>
          <w:color w:val="auto"/>
        </w:rPr>
        <w:t xml:space="preserve">millones resultado que obedece al apalancamiento que tuvo los recursos </w:t>
      </w:r>
      <w:r w:rsidR="00A03D09" w:rsidRPr="00A03D09">
        <w:rPr>
          <w:rFonts w:ascii="Tahoma" w:hAnsi="Tahoma" w:cs="Tahoma"/>
          <w:color w:val="auto"/>
        </w:rPr>
        <w:t>de transferencias por cobrar.</w:t>
      </w:r>
    </w:p>
    <w:p w:rsidR="00906002" w:rsidRPr="00DB74E9" w:rsidRDefault="00906002" w:rsidP="00DB74E9">
      <w:pPr>
        <w:jc w:val="both"/>
        <w:rPr>
          <w:rFonts w:ascii="Tahoma" w:hAnsi="Tahoma" w:cs="Tahoma"/>
          <w:color w:val="auto"/>
        </w:rPr>
      </w:pPr>
      <w:r w:rsidRPr="00DB74E9">
        <w:rPr>
          <w:rFonts w:ascii="Tahoma" w:hAnsi="Tahoma" w:cs="Tahoma"/>
          <w:color w:val="auto"/>
        </w:rPr>
        <w:t xml:space="preserve">La Propiedad, Planta y Equipo </w:t>
      </w:r>
      <w:r w:rsidR="00DF4B34" w:rsidRPr="00DB74E9">
        <w:rPr>
          <w:rFonts w:ascii="Tahoma" w:hAnsi="Tahoma" w:cs="Tahoma"/>
          <w:color w:val="auto"/>
        </w:rPr>
        <w:t xml:space="preserve">por su parte </w:t>
      </w:r>
      <w:r w:rsidR="00707DE0" w:rsidRPr="00DB74E9">
        <w:rPr>
          <w:rFonts w:ascii="Tahoma" w:hAnsi="Tahoma" w:cs="Tahoma"/>
          <w:color w:val="auto"/>
        </w:rPr>
        <w:t>presento un decrecimiento porcentual del $-3.61%  representados en $60.2 millones, disminuyendo de esta forma el saldo alcanzado en el 2014 ($</w:t>
      </w:r>
      <w:r w:rsidR="00707DE0" w:rsidRPr="00DB74E9">
        <w:rPr>
          <w:rFonts w:ascii="Tahoma" w:eastAsia="Times New Roman" w:hAnsi="Tahoma" w:cs="Tahoma"/>
          <w:color w:val="auto"/>
        </w:rPr>
        <w:t>1.669.865,00)</w:t>
      </w:r>
      <w:r w:rsidR="00C923DD" w:rsidRPr="00DB74E9">
        <w:rPr>
          <w:rFonts w:ascii="Tahoma" w:eastAsia="Times New Roman" w:hAnsi="Tahoma" w:cs="Tahoma"/>
          <w:color w:val="auto"/>
        </w:rPr>
        <w:t xml:space="preserve"> y </w:t>
      </w:r>
      <w:r w:rsidR="00DB74E9" w:rsidRPr="00DB74E9">
        <w:rPr>
          <w:rFonts w:ascii="Tahoma" w:eastAsia="Times New Roman" w:hAnsi="Tahoma" w:cs="Tahoma"/>
          <w:color w:val="auto"/>
        </w:rPr>
        <w:t xml:space="preserve">cuantificando para el </w:t>
      </w:r>
      <w:r w:rsidR="00C923DD" w:rsidRPr="00DB74E9">
        <w:rPr>
          <w:rFonts w:ascii="Tahoma" w:eastAsia="Times New Roman" w:hAnsi="Tahoma" w:cs="Tahoma"/>
          <w:color w:val="auto"/>
        </w:rPr>
        <w:t>2015 ($</w:t>
      </w:r>
      <w:r w:rsidR="00DB74E9" w:rsidRPr="00DB74E9">
        <w:rPr>
          <w:rFonts w:ascii="Tahoma" w:eastAsia="Times New Roman" w:hAnsi="Tahoma" w:cs="Tahoma"/>
          <w:color w:val="auto"/>
        </w:rPr>
        <w:t>1.609.573,00)</w:t>
      </w:r>
      <w:r w:rsidR="00707DE0" w:rsidRPr="00DB74E9">
        <w:rPr>
          <w:rFonts w:ascii="Tahoma" w:eastAsia="Times New Roman" w:hAnsi="Tahoma" w:cs="Tahoma"/>
          <w:color w:val="auto"/>
        </w:rPr>
        <w:t xml:space="preserve"> </w:t>
      </w:r>
    </w:p>
    <w:p w:rsidR="003E5E8B" w:rsidRPr="003E5E8B" w:rsidRDefault="00906002" w:rsidP="00DB74E9">
      <w:pPr>
        <w:jc w:val="both"/>
        <w:rPr>
          <w:rFonts w:ascii="Tahoma" w:hAnsi="Tahoma" w:cs="Tahoma"/>
          <w:color w:val="auto"/>
        </w:rPr>
      </w:pPr>
      <w:r w:rsidRPr="003E5E8B">
        <w:rPr>
          <w:rFonts w:ascii="Tahoma" w:hAnsi="Tahoma" w:cs="Tahoma"/>
          <w:color w:val="auto"/>
        </w:rPr>
        <w:t xml:space="preserve">Los Bienes de uso público, aunque el porcentaje de participación </w:t>
      </w:r>
      <w:r w:rsidR="00DF4B34" w:rsidRPr="003E5E8B">
        <w:rPr>
          <w:rFonts w:ascii="Tahoma" w:hAnsi="Tahoma" w:cs="Tahoma"/>
          <w:color w:val="auto"/>
        </w:rPr>
        <w:t>es poco representativo sobre el total del activo</w:t>
      </w:r>
      <w:r w:rsidR="00DB74E9">
        <w:rPr>
          <w:rFonts w:ascii="Tahoma" w:hAnsi="Tahoma" w:cs="Tahoma"/>
          <w:color w:val="auto"/>
        </w:rPr>
        <w:t xml:space="preserve"> (14.33%)</w:t>
      </w:r>
      <w:r w:rsidR="00DF4B34" w:rsidRPr="003E5E8B">
        <w:rPr>
          <w:rFonts w:ascii="Tahoma" w:hAnsi="Tahoma" w:cs="Tahoma"/>
          <w:color w:val="auto"/>
        </w:rPr>
        <w:t xml:space="preserve">, </w:t>
      </w:r>
      <w:r w:rsidRPr="003E5E8B">
        <w:rPr>
          <w:rFonts w:ascii="Tahoma" w:hAnsi="Tahoma" w:cs="Tahoma"/>
          <w:color w:val="auto"/>
        </w:rPr>
        <w:t xml:space="preserve">es una cuenta que </w:t>
      </w:r>
      <w:r w:rsidR="00DB74E9">
        <w:rPr>
          <w:rFonts w:ascii="Tahoma" w:hAnsi="Tahoma" w:cs="Tahoma"/>
          <w:color w:val="auto"/>
        </w:rPr>
        <w:t>incremento el saldo del 2014 ($779,7 millones) en el 129% ($1.006,4 millones) alcanzando de esta forma al cierre del periodo fiscal la suma de ($</w:t>
      </w:r>
      <w:r w:rsidR="00DB74E9" w:rsidRPr="00DB74E9">
        <w:rPr>
          <w:rFonts w:eastAsia="Times New Roman"/>
          <w:color w:val="auto"/>
          <w:sz w:val="18"/>
          <w:szCs w:val="18"/>
        </w:rPr>
        <w:t>1.786.214,00</w:t>
      </w:r>
      <w:r w:rsidR="00DB74E9">
        <w:rPr>
          <w:rFonts w:eastAsia="Times New Roman"/>
          <w:color w:val="auto"/>
          <w:sz w:val="18"/>
          <w:szCs w:val="18"/>
        </w:rPr>
        <w:t>)</w:t>
      </w:r>
      <w:r w:rsidR="00DB74E9">
        <w:rPr>
          <w:rFonts w:ascii="Tahoma" w:hAnsi="Tahoma" w:cs="Tahoma"/>
          <w:color w:val="auto"/>
        </w:rPr>
        <w:t>.</w:t>
      </w:r>
    </w:p>
    <w:p w:rsidR="00906002" w:rsidRDefault="003E5E8B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C26DAC">
        <w:rPr>
          <w:rFonts w:ascii="Tahoma" w:hAnsi="Tahoma" w:cs="Tahoma"/>
          <w:color w:val="FF0000"/>
        </w:rPr>
        <w:t xml:space="preserve"> </w:t>
      </w:r>
    </w:p>
    <w:p w:rsidR="00DB74E9" w:rsidRDefault="00DB74E9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3E5E8B">
        <w:rPr>
          <w:rFonts w:ascii="Tahoma" w:hAnsi="Tahoma" w:cs="Tahoma"/>
          <w:color w:val="auto"/>
        </w:rPr>
        <w:t>En cuanto la cuenta “Otros Activos” al finalizar la vigencia 2015 registró c</w:t>
      </w:r>
      <w:r>
        <w:rPr>
          <w:rFonts w:ascii="Tahoma" w:hAnsi="Tahoma" w:cs="Tahoma"/>
          <w:color w:val="auto"/>
        </w:rPr>
        <w:t>omo saldo la suma  de ($6.391,7</w:t>
      </w:r>
      <w:r w:rsidRPr="003E5E8B">
        <w:rPr>
          <w:rFonts w:ascii="Tahoma" w:hAnsi="Tahoma" w:cs="Tahoma"/>
          <w:color w:val="auto"/>
        </w:rPr>
        <w:t xml:space="preserve"> millones)  cuantía que presento un crecimiento porcentual del </w:t>
      </w:r>
      <w:r>
        <w:rPr>
          <w:rFonts w:ascii="Tahoma" w:hAnsi="Tahoma" w:cs="Tahoma"/>
          <w:color w:val="auto"/>
        </w:rPr>
        <w:t>50.69% representados en ($2.150,1</w:t>
      </w:r>
      <w:r w:rsidRPr="003E5E8B">
        <w:rPr>
          <w:rFonts w:ascii="Tahoma" w:hAnsi="Tahoma" w:cs="Tahoma"/>
          <w:color w:val="auto"/>
        </w:rPr>
        <w:t xml:space="preserve"> millones</w:t>
      </w:r>
      <w:r>
        <w:rPr>
          <w:rFonts w:ascii="Tahoma" w:hAnsi="Tahoma" w:cs="Tahoma"/>
          <w:color w:val="auto"/>
        </w:rPr>
        <w:t>).</w:t>
      </w:r>
    </w:p>
    <w:p w:rsidR="00B766AB" w:rsidRPr="00C26DAC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06002" w:rsidRPr="00741A06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741A06">
        <w:rPr>
          <w:rFonts w:ascii="Tahoma" w:hAnsi="Tahoma" w:cs="Tahoma"/>
          <w:color w:val="auto"/>
        </w:rPr>
        <w:t>Del pasivo se puede evidenciar que el inc</w:t>
      </w:r>
      <w:r w:rsidR="00DB74E9">
        <w:rPr>
          <w:rFonts w:ascii="Tahoma" w:hAnsi="Tahoma" w:cs="Tahoma"/>
          <w:color w:val="auto"/>
        </w:rPr>
        <w:t>remento alcanzado fue del 53.63% ($</w:t>
      </w:r>
      <w:r w:rsidR="004F2FD5">
        <w:rPr>
          <w:rFonts w:ascii="Tahoma" w:hAnsi="Tahoma" w:cs="Tahoma"/>
          <w:color w:val="auto"/>
        </w:rPr>
        <w:t xml:space="preserve">2.504,8 </w:t>
      </w:r>
      <w:r w:rsidRPr="00741A06">
        <w:rPr>
          <w:rFonts w:ascii="Tahoma" w:hAnsi="Tahoma" w:cs="Tahoma"/>
          <w:color w:val="auto"/>
        </w:rPr>
        <w:t>millones) más de lo percibido en el 2014</w:t>
      </w:r>
      <w:r w:rsidR="003E5E8B" w:rsidRPr="00741A06">
        <w:rPr>
          <w:rFonts w:ascii="Tahoma" w:hAnsi="Tahoma" w:cs="Tahoma"/>
          <w:color w:val="auto"/>
        </w:rPr>
        <w:t>, en cuya vigencia</w:t>
      </w:r>
      <w:r w:rsidR="004F2FD5">
        <w:rPr>
          <w:rFonts w:ascii="Tahoma" w:hAnsi="Tahoma" w:cs="Tahoma"/>
          <w:color w:val="auto"/>
        </w:rPr>
        <w:t xml:space="preserve"> registro un </w:t>
      </w:r>
      <w:r w:rsidR="004F2FD5">
        <w:rPr>
          <w:rFonts w:ascii="Tahoma" w:hAnsi="Tahoma" w:cs="Tahoma"/>
          <w:color w:val="auto"/>
        </w:rPr>
        <w:lastRenderedPageBreak/>
        <w:t>saldo de ($4.760,6</w:t>
      </w:r>
      <w:r w:rsidR="003E5E8B" w:rsidRPr="00741A06">
        <w:rPr>
          <w:rFonts w:ascii="Tahoma" w:hAnsi="Tahoma" w:cs="Tahoma"/>
          <w:color w:val="auto"/>
        </w:rPr>
        <w:t xml:space="preserve"> millones)</w:t>
      </w:r>
      <w:r w:rsidRPr="00741A06">
        <w:rPr>
          <w:rFonts w:ascii="Tahoma" w:hAnsi="Tahoma" w:cs="Tahoma"/>
          <w:color w:val="auto"/>
        </w:rPr>
        <w:t>, no obstante al cierre del periodo fiscal 2015</w:t>
      </w:r>
      <w:r w:rsidR="003E5E8B" w:rsidRPr="00741A06">
        <w:rPr>
          <w:rFonts w:ascii="Tahoma" w:hAnsi="Tahoma" w:cs="Tahoma"/>
          <w:color w:val="auto"/>
        </w:rPr>
        <w:t>,</w:t>
      </w:r>
      <w:r w:rsidR="004F2FD5">
        <w:rPr>
          <w:rFonts w:ascii="Tahoma" w:hAnsi="Tahoma" w:cs="Tahoma"/>
          <w:color w:val="auto"/>
        </w:rPr>
        <w:t xml:space="preserve"> la cuenta finalizó en $7.175,5</w:t>
      </w:r>
      <w:r w:rsidR="003E5E8B" w:rsidRPr="00741A06">
        <w:rPr>
          <w:rFonts w:ascii="Tahoma" w:hAnsi="Tahoma" w:cs="Tahoma"/>
          <w:color w:val="auto"/>
        </w:rPr>
        <w:t xml:space="preserve"> millones</w:t>
      </w:r>
      <w:r w:rsidRPr="00741A06">
        <w:rPr>
          <w:rFonts w:ascii="Tahoma" w:hAnsi="Tahoma" w:cs="Tahoma"/>
          <w:color w:val="auto"/>
        </w:rPr>
        <w:t xml:space="preserve">. </w:t>
      </w:r>
    </w:p>
    <w:p w:rsidR="00DB74E9" w:rsidRPr="00C26DAC" w:rsidRDefault="00DB74E9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092432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741A06">
        <w:rPr>
          <w:rFonts w:ascii="Tahoma" w:hAnsi="Tahoma" w:cs="Tahoma"/>
          <w:color w:val="auto"/>
        </w:rPr>
        <w:t xml:space="preserve">El Pasivo Corriente representa el </w:t>
      </w:r>
      <w:r w:rsidR="004F2FD5">
        <w:rPr>
          <w:rFonts w:ascii="Tahoma" w:hAnsi="Tahoma" w:cs="Tahoma"/>
          <w:color w:val="auto"/>
        </w:rPr>
        <w:t>15.91</w:t>
      </w:r>
      <w:r w:rsidR="00741A06" w:rsidRPr="00741A06">
        <w:rPr>
          <w:rFonts w:ascii="Tahoma" w:hAnsi="Tahoma" w:cs="Tahoma"/>
          <w:color w:val="auto"/>
        </w:rPr>
        <w:t>%</w:t>
      </w:r>
      <w:r w:rsidRPr="00741A06">
        <w:rPr>
          <w:rFonts w:ascii="Tahoma" w:hAnsi="Tahoma" w:cs="Tahoma"/>
          <w:color w:val="auto"/>
        </w:rPr>
        <w:t xml:space="preserve"> del to</w:t>
      </w:r>
      <w:r w:rsidR="00CD648A">
        <w:rPr>
          <w:rFonts w:ascii="Tahoma" w:hAnsi="Tahoma" w:cs="Tahoma"/>
          <w:color w:val="auto"/>
        </w:rPr>
        <w:t>tal del pasivo, que presentó</w:t>
      </w:r>
      <w:r w:rsidR="00741A06" w:rsidRPr="00741A06">
        <w:rPr>
          <w:rFonts w:ascii="Tahoma" w:hAnsi="Tahoma" w:cs="Tahoma"/>
          <w:color w:val="auto"/>
        </w:rPr>
        <w:t xml:space="preserve"> un</w:t>
      </w:r>
      <w:r w:rsidR="004F2FD5">
        <w:rPr>
          <w:rFonts w:ascii="Tahoma" w:hAnsi="Tahoma" w:cs="Tahoma"/>
          <w:color w:val="auto"/>
        </w:rPr>
        <w:t xml:space="preserve"> incremento porcentual del 44.7% ($353,1 </w:t>
      </w:r>
      <w:r w:rsidR="00741A06" w:rsidRPr="00741A06">
        <w:rPr>
          <w:rFonts w:ascii="Tahoma" w:hAnsi="Tahoma" w:cs="Tahoma"/>
          <w:color w:val="auto"/>
        </w:rPr>
        <w:t>millones), finalizan</w:t>
      </w:r>
      <w:r w:rsidR="00CD648A">
        <w:rPr>
          <w:rFonts w:ascii="Tahoma" w:hAnsi="Tahoma" w:cs="Tahoma"/>
          <w:color w:val="auto"/>
        </w:rPr>
        <w:t>do la vigencia 2015 en ($1.141,6</w:t>
      </w:r>
      <w:r w:rsidR="00741A06" w:rsidRPr="00741A06">
        <w:rPr>
          <w:rFonts w:ascii="Tahoma" w:hAnsi="Tahoma" w:cs="Tahoma"/>
          <w:color w:val="auto"/>
        </w:rPr>
        <w:t xml:space="preserve"> millones) comparado con el saldo alcanzado</w:t>
      </w:r>
      <w:r w:rsidR="00CD648A">
        <w:rPr>
          <w:rFonts w:ascii="Tahoma" w:hAnsi="Tahoma" w:cs="Tahoma"/>
          <w:color w:val="auto"/>
        </w:rPr>
        <w:t xml:space="preserve"> en el 2014 que fue de ($788,5</w:t>
      </w:r>
      <w:r w:rsidR="00741A06" w:rsidRPr="00741A06">
        <w:rPr>
          <w:rFonts w:ascii="Tahoma" w:hAnsi="Tahoma" w:cs="Tahoma"/>
          <w:color w:val="auto"/>
        </w:rPr>
        <w:t xml:space="preserve"> millones).</w:t>
      </w:r>
    </w:p>
    <w:p w:rsidR="00741A06" w:rsidRDefault="00741A0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CD648A" w:rsidRDefault="00CD648A" w:rsidP="00CD648A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El resultado obedeció al comportamiento de la cuenta “Obligaciones de Crédito” que presento entre el 2014 y el 2015 un incremento de $107 millones representando el 195.02%, al pasar el municipio de tener un endeudamiento de $55 millones y finalizar el 2015 con ($162,5 millones).</w:t>
      </w:r>
    </w:p>
    <w:p w:rsidR="00CD648A" w:rsidRDefault="00CD648A" w:rsidP="00CD648A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CD648A" w:rsidRDefault="00CD648A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Las Cuentas por Pagar y las Obligaciones Laborales presentaron incrementos del 32.73% y 38.42% respec</w:t>
      </w:r>
      <w:r w:rsidR="004B3A54">
        <w:rPr>
          <w:rFonts w:ascii="Tahoma" w:hAnsi="Tahoma" w:cs="Tahoma"/>
          <w:color w:val="auto"/>
        </w:rPr>
        <w:t xml:space="preserve">tivamente,  finalizando la anualidad 2015 </w:t>
      </w:r>
      <w:r w:rsidR="00D70B05">
        <w:rPr>
          <w:rFonts w:ascii="Tahoma" w:hAnsi="Tahoma" w:cs="Tahoma"/>
          <w:color w:val="auto"/>
        </w:rPr>
        <w:t>en ($842,1 millones para cuentas por pagar) y ($136,9  millones en obligaciones laborales).</w:t>
      </w:r>
    </w:p>
    <w:p w:rsidR="00CD648A" w:rsidRPr="00741A06" w:rsidRDefault="00CD648A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110EA7" w:rsidRPr="00D70B05" w:rsidRDefault="00110EA7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D70B05">
        <w:rPr>
          <w:rFonts w:ascii="Tahoma" w:hAnsi="Tahoma" w:cs="Tahoma"/>
          <w:color w:val="auto"/>
        </w:rPr>
        <w:t xml:space="preserve">El Pasivo </w:t>
      </w:r>
      <w:r w:rsidR="00D70B05" w:rsidRPr="00D70B05">
        <w:rPr>
          <w:rFonts w:ascii="Tahoma" w:hAnsi="Tahoma" w:cs="Tahoma"/>
          <w:color w:val="auto"/>
        </w:rPr>
        <w:t>No Corriente representa el 84.08</w:t>
      </w:r>
      <w:r w:rsidRPr="00D70B05">
        <w:rPr>
          <w:rFonts w:ascii="Tahoma" w:hAnsi="Tahoma" w:cs="Tahoma"/>
          <w:color w:val="auto"/>
        </w:rPr>
        <w:t>% del total del pasi</w:t>
      </w:r>
      <w:r w:rsidR="00D70B05" w:rsidRPr="00D70B05">
        <w:rPr>
          <w:rFonts w:ascii="Tahoma" w:hAnsi="Tahoma" w:cs="Tahoma"/>
          <w:color w:val="auto"/>
        </w:rPr>
        <w:t>vo, con un</w:t>
      </w:r>
      <w:r w:rsidR="00066FA5" w:rsidRPr="00D70B05">
        <w:rPr>
          <w:rFonts w:ascii="Tahoma" w:hAnsi="Tahoma" w:cs="Tahoma"/>
          <w:color w:val="auto"/>
        </w:rPr>
        <w:t xml:space="preserve"> </w:t>
      </w:r>
      <w:r w:rsidR="00D70B05" w:rsidRPr="00D70B05">
        <w:rPr>
          <w:rFonts w:ascii="Tahoma" w:hAnsi="Tahoma" w:cs="Tahoma"/>
          <w:color w:val="auto"/>
        </w:rPr>
        <w:t>incremento  del 55.27% ($2.151,7 millones) al pasar de $3.882,1 millones en el 2014 a $6.033,9</w:t>
      </w:r>
      <w:r w:rsidRPr="00D70B05">
        <w:rPr>
          <w:rFonts w:ascii="Tahoma" w:hAnsi="Tahoma" w:cs="Tahoma"/>
          <w:color w:val="auto"/>
        </w:rPr>
        <w:t xml:space="preserve"> millones en el 2015 representado principalmente por lo</w:t>
      </w:r>
      <w:r w:rsidR="00D70B05" w:rsidRPr="00D70B05">
        <w:rPr>
          <w:rFonts w:ascii="Tahoma" w:hAnsi="Tahoma" w:cs="Tahoma"/>
          <w:color w:val="auto"/>
        </w:rPr>
        <w:t>s Pasivos Estimados con $6.025,9</w:t>
      </w:r>
      <w:r w:rsidRPr="00D70B05">
        <w:rPr>
          <w:rFonts w:ascii="Tahoma" w:hAnsi="Tahoma" w:cs="Tahoma"/>
          <w:color w:val="auto"/>
        </w:rPr>
        <w:t xml:space="preserve"> millones</w:t>
      </w:r>
      <w:r w:rsidR="00D70B05" w:rsidRPr="00D70B05">
        <w:rPr>
          <w:rFonts w:ascii="Tahoma" w:hAnsi="Tahoma" w:cs="Tahoma"/>
          <w:color w:val="auto"/>
        </w:rPr>
        <w:t>.</w:t>
      </w:r>
      <w:r w:rsidRPr="00D70B05">
        <w:rPr>
          <w:rFonts w:ascii="Tahoma" w:hAnsi="Tahoma" w:cs="Tahoma"/>
          <w:color w:val="auto"/>
        </w:rPr>
        <w:t xml:space="preserve"> </w:t>
      </w:r>
    </w:p>
    <w:p w:rsidR="00D70B05" w:rsidRPr="00D70B05" w:rsidRDefault="00D70B05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D70B05" w:rsidRDefault="00066FA5" w:rsidP="00847EEE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t>El Patrimoni</w:t>
      </w:r>
      <w:r w:rsidR="00D70B05">
        <w:rPr>
          <w:rFonts w:ascii="Tahoma" w:hAnsi="Tahoma" w:cs="Tahoma"/>
          <w:color w:val="auto"/>
        </w:rPr>
        <w:t>o del ente territorial incremento</w:t>
      </w:r>
      <w:r w:rsidRPr="000A5A8D">
        <w:rPr>
          <w:rFonts w:ascii="Tahoma" w:hAnsi="Tahoma" w:cs="Tahoma"/>
          <w:color w:val="auto"/>
        </w:rPr>
        <w:t xml:space="preserve"> el saldo del 2014 en </w:t>
      </w:r>
      <w:r w:rsidR="00D70B05">
        <w:rPr>
          <w:rFonts w:ascii="Tahoma" w:hAnsi="Tahoma" w:cs="Tahoma"/>
          <w:color w:val="auto"/>
        </w:rPr>
        <w:t>$385,2</w:t>
      </w:r>
      <w:r w:rsidRPr="000A5A8D">
        <w:rPr>
          <w:rFonts w:ascii="Tahoma" w:hAnsi="Tahoma" w:cs="Tahoma"/>
          <w:color w:val="auto"/>
        </w:rPr>
        <w:t xml:space="preserve"> millones al pasar  de $</w:t>
      </w:r>
      <w:r w:rsidR="00D70B05">
        <w:rPr>
          <w:rFonts w:ascii="Tahoma" w:hAnsi="Tahoma" w:cs="Tahoma"/>
          <w:color w:val="auto"/>
        </w:rPr>
        <w:t>4.901,8</w:t>
      </w:r>
      <w:r w:rsidR="00110EA7" w:rsidRPr="000A5A8D">
        <w:rPr>
          <w:rFonts w:ascii="Tahoma" w:hAnsi="Tahoma" w:cs="Tahoma"/>
          <w:color w:val="auto"/>
        </w:rPr>
        <w:t xml:space="preserve"> millones en e</w:t>
      </w:r>
      <w:r w:rsidR="00DE33F1">
        <w:rPr>
          <w:rFonts w:ascii="Tahoma" w:hAnsi="Tahoma" w:cs="Tahoma"/>
          <w:color w:val="auto"/>
        </w:rPr>
        <w:t>l 2014 a $5.287</w:t>
      </w:r>
      <w:r w:rsidR="00110EA7" w:rsidRPr="000A5A8D">
        <w:rPr>
          <w:rFonts w:ascii="Tahoma" w:hAnsi="Tahoma" w:cs="Tahoma"/>
          <w:color w:val="auto"/>
        </w:rPr>
        <w:t xml:space="preserve"> millones en el 2015, resultado que fue influido entre otros por </w:t>
      </w:r>
      <w:r w:rsidR="000A5A8D" w:rsidRPr="000A5A8D">
        <w:rPr>
          <w:rFonts w:ascii="Tahoma" w:hAnsi="Tahoma" w:cs="Tahoma"/>
          <w:color w:val="auto"/>
        </w:rPr>
        <w:t xml:space="preserve">la disminución del Resultado del Ejercicio quien finalizó la vigencia 2015 con saldo </w:t>
      </w:r>
      <w:r w:rsidR="00DE33F1">
        <w:rPr>
          <w:rFonts w:ascii="Tahoma" w:hAnsi="Tahoma" w:cs="Tahoma"/>
          <w:color w:val="auto"/>
        </w:rPr>
        <w:t xml:space="preserve"> de $458,2 </w:t>
      </w:r>
      <w:r w:rsidR="00672892">
        <w:rPr>
          <w:rFonts w:ascii="Tahoma" w:hAnsi="Tahoma" w:cs="Tahoma"/>
          <w:color w:val="auto"/>
        </w:rPr>
        <w:t>millones.</w:t>
      </w:r>
    </w:p>
    <w:p w:rsidR="00D70B05" w:rsidRPr="000A5A8D" w:rsidRDefault="00D70B05" w:rsidP="00847EEE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B24CA8" w:rsidRDefault="00B24CA8" w:rsidP="00901A5E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  <w:sz w:val="20"/>
          <w:szCs w:val="20"/>
        </w:rPr>
      </w:pPr>
      <w:r w:rsidRPr="00901A5E">
        <w:rPr>
          <w:rFonts w:ascii="Tahoma" w:hAnsi="Tahoma" w:cs="Tahoma"/>
          <w:b/>
          <w:sz w:val="20"/>
          <w:szCs w:val="20"/>
        </w:rPr>
        <w:t>ESTADO DE ACTIVIDAD FINANCIERA, ECONÓMICA, SOCIAL Y AMBIENTAL COMPARATIVO</w:t>
      </w:r>
    </w:p>
    <w:p w:rsidR="00901A5E" w:rsidRPr="00901A5E" w:rsidRDefault="00901A5E" w:rsidP="00901A5E">
      <w:pPr>
        <w:pStyle w:val="Prrafodelista"/>
        <w:spacing w:before="0" w:after="0" w:line="228" w:lineRule="auto"/>
        <w:rPr>
          <w:rFonts w:ascii="Tahoma" w:hAnsi="Tahoma" w:cs="Tahoma"/>
          <w:b/>
          <w:sz w:val="20"/>
          <w:szCs w:val="20"/>
        </w:rPr>
      </w:pPr>
    </w:p>
    <w:p w:rsidR="00110EA7" w:rsidRDefault="002A6349" w:rsidP="00B24CA8">
      <w:pPr>
        <w:pStyle w:val="Prrafodelista"/>
        <w:spacing w:before="0" w:after="0" w:line="228" w:lineRule="auto"/>
        <w:rPr>
          <w:noProof/>
        </w:rPr>
      </w:pPr>
      <w:r>
        <w:rPr>
          <w:noProof/>
        </w:rPr>
        <w:drawing>
          <wp:inline distT="0" distB="0" distL="0" distR="0" wp14:anchorId="3D7D364D" wp14:editId="1343819C">
            <wp:extent cx="3350526" cy="2156346"/>
            <wp:effectExtent l="0" t="0" r="21590" b="1587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10EA7" w:rsidRDefault="00110EA7" w:rsidP="00901A5E">
      <w:pPr>
        <w:spacing w:before="0" w:after="0" w:line="228" w:lineRule="auto"/>
        <w:rPr>
          <w:noProof/>
        </w:rPr>
      </w:pPr>
    </w:p>
    <w:p w:rsidR="00110EA7" w:rsidRDefault="002A6349" w:rsidP="00B24CA8">
      <w:pPr>
        <w:pStyle w:val="Prrafodelista"/>
        <w:spacing w:before="0" w:after="0" w:line="228" w:lineRule="auto"/>
        <w:rPr>
          <w:noProof/>
        </w:rPr>
      </w:pPr>
      <w:r w:rsidRPr="002A6349">
        <w:rPr>
          <w:noProof/>
        </w:rPr>
        <w:drawing>
          <wp:inline distT="0" distB="0" distL="0" distR="0" wp14:anchorId="6A2EC76A" wp14:editId="1FA52984">
            <wp:extent cx="5613400" cy="5851413"/>
            <wp:effectExtent l="0" t="0" r="635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851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A5A8D" w:rsidRPr="002A6349" w:rsidRDefault="000A5A8D" w:rsidP="002A6349">
      <w:pPr>
        <w:spacing w:before="0" w:after="0" w:line="228" w:lineRule="auto"/>
        <w:jc w:val="both"/>
        <w:rPr>
          <w:rFonts w:ascii="Tahoma" w:hAnsi="Tahoma" w:cs="Tahoma"/>
        </w:rPr>
      </w:pPr>
    </w:p>
    <w:p w:rsidR="000971C2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lastRenderedPageBreak/>
        <w:t>Los  resultados del Ejercicio financiero durante la vigencia fiscal 2015, presentó un incr</w:t>
      </w:r>
      <w:r w:rsidR="002A6349">
        <w:rPr>
          <w:rFonts w:ascii="Tahoma" w:hAnsi="Tahoma" w:cs="Tahoma"/>
          <w:color w:val="auto"/>
        </w:rPr>
        <w:t>emento en sus ingresos del 12.36% ($434,1</w:t>
      </w:r>
      <w:r w:rsidRPr="000A5A8D">
        <w:rPr>
          <w:rFonts w:ascii="Tahoma" w:hAnsi="Tahoma" w:cs="Tahoma"/>
          <w:color w:val="auto"/>
        </w:rPr>
        <w:t xml:space="preserve"> millones) al pasar de obtener unos </w:t>
      </w:r>
      <w:r w:rsidR="000A5A8D" w:rsidRPr="000A5A8D">
        <w:rPr>
          <w:rFonts w:ascii="Tahoma" w:hAnsi="Tahoma" w:cs="Tahoma"/>
          <w:color w:val="auto"/>
        </w:rPr>
        <w:t>i</w:t>
      </w:r>
      <w:r w:rsidR="002A6349">
        <w:rPr>
          <w:rFonts w:ascii="Tahoma" w:hAnsi="Tahoma" w:cs="Tahoma"/>
          <w:color w:val="auto"/>
        </w:rPr>
        <w:t xml:space="preserve">ngresos en el 2014 de ($3.511,9 </w:t>
      </w:r>
      <w:r w:rsidRPr="000A5A8D">
        <w:rPr>
          <w:rFonts w:ascii="Tahoma" w:hAnsi="Tahoma" w:cs="Tahoma"/>
          <w:color w:val="auto"/>
        </w:rPr>
        <w:t xml:space="preserve">millones)  a unos </w:t>
      </w:r>
      <w:r w:rsidR="00B11B9B">
        <w:rPr>
          <w:rFonts w:ascii="Tahoma" w:hAnsi="Tahoma" w:cs="Tahoma"/>
          <w:color w:val="auto"/>
        </w:rPr>
        <w:t>ingresos en el 2015 de $3.946</w:t>
      </w:r>
      <w:r w:rsidRPr="000A5A8D">
        <w:rPr>
          <w:rFonts w:ascii="Tahoma" w:hAnsi="Tahoma" w:cs="Tahoma"/>
          <w:color w:val="auto"/>
        </w:rPr>
        <w:t xml:space="preserve"> millones.</w:t>
      </w:r>
    </w:p>
    <w:p w:rsidR="002A6349" w:rsidRPr="00025ED7" w:rsidRDefault="002A6349" w:rsidP="00025ED7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D70440">
        <w:rPr>
          <w:rFonts w:ascii="Tahoma" w:hAnsi="Tahoma" w:cs="Tahoma"/>
          <w:color w:val="auto"/>
        </w:rPr>
        <w:t>Dentro de la estructura de l</w:t>
      </w:r>
      <w:r w:rsidR="00D70440" w:rsidRPr="00D70440">
        <w:rPr>
          <w:rFonts w:ascii="Tahoma" w:hAnsi="Tahoma" w:cs="Tahoma"/>
          <w:color w:val="auto"/>
        </w:rPr>
        <w:t>o</w:t>
      </w:r>
      <w:r w:rsidR="00B11B9B">
        <w:rPr>
          <w:rFonts w:ascii="Tahoma" w:hAnsi="Tahoma" w:cs="Tahoma"/>
          <w:color w:val="auto"/>
        </w:rPr>
        <w:t>s ingresos se tiene que el 84.14</w:t>
      </w:r>
      <w:r w:rsidRPr="00D70440">
        <w:rPr>
          <w:rFonts w:ascii="Tahoma" w:hAnsi="Tahoma" w:cs="Tahoma"/>
          <w:color w:val="auto"/>
        </w:rPr>
        <w:t>% proviene</w:t>
      </w:r>
      <w:r w:rsidR="00B11B9B">
        <w:rPr>
          <w:rFonts w:ascii="Tahoma" w:hAnsi="Tahoma" w:cs="Tahoma"/>
          <w:color w:val="auto"/>
        </w:rPr>
        <w:t>n de las Transferencias, el 6.27</w:t>
      </w:r>
      <w:r w:rsidRPr="00D70440">
        <w:rPr>
          <w:rFonts w:ascii="Tahoma" w:hAnsi="Tahoma" w:cs="Tahoma"/>
          <w:color w:val="auto"/>
        </w:rPr>
        <w:t>% d</w:t>
      </w:r>
      <w:r w:rsidR="00D70440" w:rsidRPr="00D70440">
        <w:rPr>
          <w:rFonts w:ascii="Tahoma" w:hAnsi="Tahoma" w:cs="Tahoma"/>
          <w:color w:val="auto"/>
        </w:rPr>
        <w:t>e</w:t>
      </w:r>
      <w:r w:rsidR="00B11B9B">
        <w:rPr>
          <w:rFonts w:ascii="Tahoma" w:hAnsi="Tahoma" w:cs="Tahoma"/>
          <w:color w:val="auto"/>
        </w:rPr>
        <w:t xml:space="preserve"> los Ingresos Fiscales y el 9.57</w:t>
      </w:r>
      <w:r w:rsidRPr="00D70440">
        <w:rPr>
          <w:rFonts w:ascii="Tahoma" w:hAnsi="Tahoma" w:cs="Tahoma"/>
          <w:color w:val="auto"/>
        </w:rPr>
        <w:t>% de otros Ingresos</w:t>
      </w:r>
      <w:r w:rsidRPr="000A5A8D">
        <w:rPr>
          <w:rFonts w:ascii="Tahoma" w:hAnsi="Tahoma" w:cs="Tahoma"/>
          <w:color w:val="FF0000"/>
        </w:rPr>
        <w:t>.</w:t>
      </w: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42656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672892">
        <w:rPr>
          <w:rFonts w:ascii="Tahoma" w:hAnsi="Tahoma" w:cs="Tahoma"/>
          <w:color w:val="auto"/>
        </w:rPr>
        <w:t>Los Ingresos Fiscales presentó un</w:t>
      </w:r>
      <w:r w:rsidR="00B11B9B" w:rsidRPr="00672892">
        <w:rPr>
          <w:rFonts w:ascii="Tahoma" w:hAnsi="Tahoma" w:cs="Tahoma"/>
          <w:color w:val="auto"/>
        </w:rPr>
        <w:t>a</w:t>
      </w:r>
      <w:r w:rsidR="00672892" w:rsidRPr="00672892">
        <w:rPr>
          <w:rFonts w:ascii="Tahoma" w:hAnsi="Tahoma" w:cs="Tahoma"/>
          <w:color w:val="auto"/>
        </w:rPr>
        <w:t xml:space="preserve"> disminución del -30.07%</w:t>
      </w:r>
      <w:r w:rsidR="00B11B9B" w:rsidRPr="00672892">
        <w:rPr>
          <w:rFonts w:ascii="Tahoma" w:hAnsi="Tahoma" w:cs="Tahoma"/>
          <w:color w:val="auto"/>
        </w:rPr>
        <w:t xml:space="preserve"> </w:t>
      </w:r>
      <w:r w:rsidR="00672892" w:rsidRPr="00672892">
        <w:rPr>
          <w:rFonts w:ascii="Tahoma" w:hAnsi="Tahoma" w:cs="Tahoma"/>
          <w:color w:val="auto"/>
        </w:rPr>
        <w:t>($106,5</w:t>
      </w:r>
      <w:r w:rsidRPr="00672892">
        <w:rPr>
          <w:rFonts w:ascii="Tahoma" w:hAnsi="Tahoma" w:cs="Tahoma"/>
          <w:color w:val="auto"/>
        </w:rPr>
        <w:t xml:space="preserve"> millones) </w:t>
      </w:r>
      <w:r w:rsidR="00D70440" w:rsidRPr="00672892">
        <w:rPr>
          <w:rFonts w:ascii="Tahoma" w:hAnsi="Tahoma" w:cs="Tahoma"/>
          <w:color w:val="auto"/>
        </w:rPr>
        <w:t>entre el 2014 al 2015</w:t>
      </w:r>
      <w:r w:rsidRPr="00672892">
        <w:rPr>
          <w:rFonts w:ascii="Tahoma" w:hAnsi="Tahoma" w:cs="Tahoma"/>
          <w:color w:val="auto"/>
        </w:rPr>
        <w:t>, finalizando la v</w:t>
      </w:r>
      <w:r w:rsidR="00D70440" w:rsidRPr="00672892">
        <w:rPr>
          <w:rFonts w:ascii="Tahoma" w:hAnsi="Tahoma" w:cs="Tahoma"/>
          <w:color w:val="auto"/>
        </w:rPr>
        <w:t>igenc</w:t>
      </w:r>
      <w:r w:rsidR="00672892" w:rsidRPr="00672892">
        <w:rPr>
          <w:rFonts w:ascii="Tahoma" w:hAnsi="Tahoma" w:cs="Tahoma"/>
          <w:color w:val="auto"/>
        </w:rPr>
        <w:t>ia 2015 con un saldo de $247,8</w:t>
      </w:r>
      <w:r w:rsidRPr="00672892">
        <w:rPr>
          <w:rFonts w:ascii="Tahoma" w:hAnsi="Tahoma" w:cs="Tahoma"/>
          <w:color w:val="auto"/>
        </w:rPr>
        <w:t xml:space="preserve"> millone</w:t>
      </w:r>
      <w:r w:rsidR="00D70440" w:rsidRPr="00672892">
        <w:rPr>
          <w:rFonts w:ascii="Tahoma" w:hAnsi="Tahoma" w:cs="Tahoma"/>
          <w:color w:val="auto"/>
        </w:rPr>
        <w:t>s.</w:t>
      </w:r>
      <w:r w:rsidR="00D70440" w:rsidRPr="00672892">
        <w:rPr>
          <w:rFonts w:ascii="Tahoma" w:hAnsi="Tahoma" w:cs="Tahoma"/>
          <w:color w:val="FF0000"/>
        </w:rPr>
        <w:t xml:space="preserve">  </w:t>
      </w:r>
      <w:r w:rsidR="00D70440" w:rsidRPr="0042656D">
        <w:rPr>
          <w:rFonts w:ascii="Tahoma" w:hAnsi="Tahoma" w:cs="Tahoma"/>
          <w:color w:val="auto"/>
        </w:rPr>
        <w:t>Dentro d</w:t>
      </w:r>
      <w:r w:rsidR="00672892" w:rsidRPr="0042656D">
        <w:rPr>
          <w:rFonts w:ascii="Tahoma" w:hAnsi="Tahoma" w:cs="Tahoma"/>
          <w:color w:val="auto"/>
        </w:rPr>
        <w:t>e este grupo el 69.64</w:t>
      </w:r>
      <w:r w:rsidRPr="0042656D">
        <w:rPr>
          <w:rFonts w:ascii="Tahoma" w:hAnsi="Tahoma" w:cs="Tahoma"/>
          <w:color w:val="auto"/>
        </w:rPr>
        <w:t xml:space="preserve">% corresponde a Ingresos Tributarios cuyo comportamiento entre el 2014 y el 2015 </w:t>
      </w:r>
      <w:r w:rsidR="00672892" w:rsidRPr="0042656D">
        <w:rPr>
          <w:rFonts w:ascii="Tahoma" w:hAnsi="Tahoma" w:cs="Tahoma"/>
          <w:color w:val="auto"/>
        </w:rPr>
        <w:t>presento u</w:t>
      </w:r>
      <w:r w:rsidRPr="0042656D">
        <w:rPr>
          <w:rFonts w:ascii="Tahoma" w:hAnsi="Tahoma" w:cs="Tahoma"/>
          <w:color w:val="auto"/>
        </w:rPr>
        <w:t>n</w:t>
      </w:r>
      <w:r w:rsidR="00672892" w:rsidRPr="0042656D">
        <w:rPr>
          <w:rFonts w:ascii="Tahoma" w:hAnsi="Tahoma" w:cs="Tahoma"/>
          <w:color w:val="auto"/>
        </w:rPr>
        <w:t xml:space="preserve"> incremento de 62.1 millones </w:t>
      </w:r>
      <w:r w:rsidR="0042656D" w:rsidRPr="0042656D">
        <w:rPr>
          <w:rFonts w:ascii="Tahoma" w:hAnsi="Tahoma" w:cs="Tahoma"/>
          <w:color w:val="auto"/>
        </w:rPr>
        <w:t xml:space="preserve">el </w:t>
      </w:r>
      <w:r w:rsidR="00672892" w:rsidRPr="0042656D">
        <w:rPr>
          <w:rFonts w:ascii="Tahoma" w:hAnsi="Tahoma" w:cs="Tahoma"/>
          <w:color w:val="auto"/>
        </w:rPr>
        <w:t xml:space="preserve"> 56.34%</w:t>
      </w:r>
      <w:r w:rsidR="0042656D" w:rsidRPr="0042656D">
        <w:rPr>
          <w:rFonts w:ascii="Tahoma" w:hAnsi="Tahoma" w:cs="Tahoma"/>
          <w:color w:val="auto"/>
        </w:rPr>
        <w:t xml:space="preserve"> más de lo percibido en la vigencia 2014.</w:t>
      </w:r>
      <w:r w:rsidRPr="0042656D">
        <w:rPr>
          <w:rFonts w:ascii="Tahoma" w:hAnsi="Tahoma" w:cs="Tahoma"/>
          <w:color w:val="auto"/>
        </w:rPr>
        <w:t xml:space="preserve"> </w:t>
      </w:r>
    </w:p>
    <w:p w:rsidR="0042656D" w:rsidRPr="000A5A8D" w:rsidRDefault="0042656D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3578AE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578AE">
        <w:rPr>
          <w:rFonts w:ascii="Tahoma" w:hAnsi="Tahoma" w:cs="Tahoma"/>
          <w:color w:val="auto"/>
        </w:rPr>
        <w:t>Los Ingresos No Tri</w:t>
      </w:r>
      <w:r w:rsidR="00D70440" w:rsidRPr="003578AE">
        <w:rPr>
          <w:rFonts w:ascii="Tahoma" w:hAnsi="Tahoma" w:cs="Tahoma"/>
          <w:color w:val="auto"/>
        </w:rPr>
        <w:t>b</w:t>
      </w:r>
      <w:r w:rsidR="0042656D">
        <w:rPr>
          <w:rFonts w:ascii="Tahoma" w:hAnsi="Tahoma" w:cs="Tahoma"/>
          <w:color w:val="auto"/>
        </w:rPr>
        <w:t>utarios que representan el 31.12</w:t>
      </w:r>
      <w:r w:rsidRPr="003578AE">
        <w:rPr>
          <w:rFonts w:ascii="Tahoma" w:hAnsi="Tahoma" w:cs="Tahoma"/>
          <w:color w:val="auto"/>
        </w:rPr>
        <w:t xml:space="preserve">% de los Ingresos Fiscales finalizaron la vigencia 2015 </w:t>
      </w:r>
      <w:r w:rsidR="0042656D">
        <w:rPr>
          <w:rFonts w:ascii="Tahoma" w:hAnsi="Tahoma" w:cs="Tahoma"/>
          <w:color w:val="auto"/>
        </w:rPr>
        <w:t>con un saldo de $77,1</w:t>
      </w:r>
      <w:r w:rsidR="00B57255" w:rsidRPr="003578AE">
        <w:rPr>
          <w:rFonts w:ascii="Tahoma" w:hAnsi="Tahoma" w:cs="Tahoma"/>
          <w:color w:val="auto"/>
        </w:rPr>
        <w:t xml:space="preserve"> millones presentando entre e</w:t>
      </w:r>
      <w:r w:rsidR="00D70440" w:rsidRPr="003578AE">
        <w:rPr>
          <w:rFonts w:ascii="Tahoma" w:hAnsi="Tahoma" w:cs="Tahoma"/>
          <w:color w:val="auto"/>
        </w:rPr>
        <w:t>l 2014 y el 2015 un</w:t>
      </w:r>
      <w:r w:rsidR="0042656D">
        <w:rPr>
          <w:rFonts w:ascii="Tahoma" w:hAnsi="Tahoma" w:cs="Tahoma"/>
          <w:color w:val="auto"/>
        </w:rPr>
        <w:t>a disminución del 69.72%</w:t>
      </w:r>
      <w:r w:rsidR="00D70440" w:rsidRPr="003578AE">
        <w:rPr>
          <w:rFonts w:ascii="Tahoma" w:hAnsi="Tahoma" w:cs="Tahoma"/>
          <w:color w:val="auto"/>
        </w:rPr>
        <w:t xml:space="preserve"> </w:t>
      </w:r>
      <w:r w:rsidR="0042656D">
        <w:rPr>
          <w:rFonts w:ascii="Tahoma" w:hAnsi="Tahoma" w:cs="Tahoma"/>
          <w:color w:val="auto"/>
        </w:rPr>
        <w:t xml:space="preserve">que representan la suma de </w:t>
      </w:r>
      <w:r w:rsidR="00D70440" w:rsidRPr="003578AE">
        <w:rPr>
          <w:rFonts w:ascii="Tahoma" w:hAnsi="Tahoma" w:cs="Tahoma"/>
          <w:color w:val="auto"/>
        </w:rPr>
        <w:t>($</w:t>
      </w:r>
      <w:r w:rsidR="0042656D">
        <w:rPr>
          <w:rFonts w:ascii="Tahoma" w:hAnsi="Tahoma" w:cs="Tahoma"/>
          <w:color w:val="auto"/>
        </w:rPr>
        <w:t>177,6</w:t>
      </w:r>
      <w:r w:rsidR="003578AE" w:rsidRPr="003578AE">
        <w:rPr>
          <w:rFonts w:ascii="Tahoma" w:hAnsi="Tahoma" w:cs="Tahoma"/>
          <w:color w:val="auto"/>
        </w:rPr>
        <w:t xml:space="preserve"> millones).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3578AE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578AE">
        <w:rPr>
          <w:rFonts w:ascii="Tahoma" w:hAnsi="Tahoma" w:cs="Tahoma"/>
          <w:color w:val="auto"/>
        </w:rPr>
        <w:t xml:space="preserve">Las Transferencias, cuenta de mayor representatividad dentro de la </w:t>
      </w:r>
      <w:r w:rsidR="003578AE" w:rsidRPr="003578AE">
        <w:rPr>
          <w:rFonts w:ascii="Tahoma" w:hAnsi="Tahoma" w:cs="Tahoma"/>
          <w:color w:val="auto"/>
        </w:rPr>
        <w:t>e</w:t>
      </w:r>
      <w:r w:rsidR="0042656D">
        <w:rPr>
          <w:rFonts w:ascii="Tahoma" w:hAnsi="Tahoma" w:cs="Tahoma"/>
          <w:color w:val="auto"/>
        </w:rPr>
        <w:t>structura de los ingresos (84.14</w:t>
      </w:r>
      <w:r w:rsidRPr="003578AE">
        <w:rPr>
          <w:rFonts w:ascii="Tahoma" w:hAnsi="Tahoma" w:cs="Tahoma"/>
          <w:color w:val="auto"/>
        </w:rPr>
        <w:t xml:space="preserve">%) presento entre el 2014 al 2015 </w:t>
      </w:r>
      <w:r w:rsidR="0042656D">
        <w:rPr>
          <w:rFonts w:ascii="Tahoma" w:hAnsi="Tahoma" w:cs="Tahoma"/>
          <w:color w:val="auto"/>
        </w:rPr>
        <w:t>una variación positiva del 8.7</w:t>
      </w:r>
      <w:r w:rsidR="00F30B3E">
        <w:rPr>
          <w:rFonts w:ascii="Tahoma" w:hAnsi="Tahoma" w:cs="Tahoma"/>
          <w:color w:val="auto"/>
        </w:rPr>
        <w:t>8</w:t>
      </w:r>
      <w:r w:rsidR="003578AE" w:rsidRPr="003578AE">
        <w:rPr>
          <w:rFonts w:ascii="Tahoma" w:hAnsi="Tahoma" w:cs="Tahoma"/>
          <w:color w:val="auto"/>
        </w:rPr>
        <w:t xml:space="preserve">% </w:t>
      </w:r>
      <w:r w:rsidR="00F30B3E">
        <w:rPr>
          <w:rFonts w:ascii="Tahoma" w:hAnsi="Tahoma" w:cs="Tahoma"/>
          <w:color w:val="auto"/>
        </w:rPr>
        <w:t>representado en $268</w:t>
      </w:r>
      <w:r w:rsidRPr="003578AE">
        <w:rPr>
          <w:rFonts w:ascii="Tahoma" w:hAnsi="Tahoma" w:cs="Tahoma"/>
          <w:color w:val="auto"/>
        </w:rPr>
        <w:t xml:space="preserve"> millones pasando de tener regist</w:t>
      </w:r>
      <w:r w:rsidR="003578AE" w:rsidRPr="003578AE">
        <w:rPr>
          <w:rFonts w:ascii="Tahoma" w:hAnsi="Tahoma" w:cs="Tahoma"/>
          <w:color w:val="auto"/>
        </w:rPr>
        <w:t>ros en</w:t>
      </w:r>
      <w:r w:rsidR="00F30B3E">
        <w:rPr>
          <w:rFonts w:ascii="Tahoma" w:hAnsi="Tahoma" w:cs="Tahoma"/>
          <w:color w:val="auto"/>
        </w:rPr>
        <w:t xml:space="preserve"> el 2014 en cuantía de $3.052,2 millones a $3.320,2</w:t>
      </w:r>
      <w:r w:rsidRPr="003578AE">
        <w:rPr>
          <w:rFonts w:ascii="Tahoma" w:hAnsi="Tahoma" w:cs="Tahoma"/>
          <w:color w:val="auto"/>
        </w:rPr>
        <w:t xml:space="preserve"> millones en el 2015.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A742F1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>Los Ingresos provenientes del Sistema General de Participaciones, pre</w:t>
      </w:r>
      <w:r w:rsidR="00F30B3E">
        <w:rPr>
          <w:rFonts w:ascii="Tahoma" w:hAnsi="Tahoma" w:cs="Tahoma"/>
          <w:color w:val="auto"/>
        </w:rPr>
        <w:t>sentaron un incremento del 11.24% ($298,6</w:t>
      </w:r>
      <w:r w:rsidRPr="00A742F1">
        <w:rPr>
          <w:rFonts w:ascii="Tahoma" w:hAnsi="Tahoma" w:cs="Tahoma"/>
          <w:color w:val="auto"/>
        </w:rPr>
        <w:t xml:space="preserve"> millones) pasando </w:t>
      </w:r>
      <w:r w:rsidR="00A742F1" w:rsidRPr="00A742F1">
        <w:rPr>
          <w:rFonts w:ascii="Tahoma" w:hAnsi="Tahoma" w:cs="Tahoma"/>
          <w:color w:val="auto"/>
        </w:rPr>
        <w:t>d</w:t>
      </w:r>
      <w:r w:rsidR="00F30B3E">
        <w:rPr>
          <w:rFonts w:ascii="Tahoma" w:hAnsi="Tahoma" w:cs="Tahoma"/>
          <w:color w:val="auto"/>
        </w:rPr>
        <w:t>e percibir en el 2014 ($</w:t>
      </w:r>
      <w:r w:rsidR="003529A7">
        <w:rPr>
          <w:rFonts w:ascii="Tahoma" w:hAnsi="Tahoma" w:cs="Tahoma"/>
          <w:color w:val="auto"/>
        </w:rPr>
        <w:t>2.658,2 millones) al 2015 ($2.956,8</w:t>
      </w:r>
      <w:r w:rsidRPr="00A742F1">
        <w:rPr>
          <w:rFonts w:ascii="Tahoma" w:hAnsi="Tahoma" w:cs="Tahoma"/>
          <w:color w:val="auto"/>
        </w:rPr>
        <w:t xml:space="preserve"> millones).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A742F1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>Los sectores beneficiados con el incremento de las transferencias por concepto del Sistema Gene</w:t>
      </w:r>
      <w:r w:rsidR="00025ED7">
        <w:rPr>
          <w:rFonts w:ascii="Tahoma" w:hAnsi="Tahoma" w:cs="Tahoma"/>
          <w:color w:val="auto"/>
        </w:rPr>
        <w:t>ral de Participaciones fueron la Participación para Propósito General sobre l</w:t>
      </w:r>
      <w:r w:rsidRPr="00A742F1">
        <w:rPr>
          <w:rFonts w:ascii="Tahoma" w:hAnsi="Tahoma" w:cs="Tahoma"/>
          <w:color w:val="auto"/>
        </w:rPr>
        <w:t xml:space="preserve">os cuales se destinaron  el </w:t>
      </w:r>
      <w:r w:rsidR="00025ED7">
        <w:rPr>
          <w:rFonts w:ascii="Tahoma" w:hAnsi="Tahoma" w:cs="Tahoma"/>
          <w:color w:val="auto"/>
        </w:rPr>
        <w:t>61.12</w:t>
      </w:r>
      <w:r w:rsidR="00321B22" w:rsidRPr="00A742F1">
        <w:rPr>
          <w:rFonts w:ascii="Tahoma" w:hAnsi="Tahoma" w:cs="Tahoma"/>
          <w:color w:val="auto"/>
        </w:rPr>
        <w:t>%, finalizando la v</w:t>
      </w:r>
      <w:r w:rsidR="00025ED7">
        <w:rPr>
          <w:rFonts w:ascii="Tahoma" w:hAnsi="Tahoma" w:cs="Tahoma"/>
          <w:color w:val="auto"/>
        </w:rPr>
        <w:t>igencia 2015 con un saldo de $1.807,3</w:t>
      </w:r>
      <w:r w:rsidR="00321B22" w:rsidRPr="00A742F1">
        <w:rPr>
          <w:rFonts w:ascii="Tahoma" w:hAnsi="Tahoma" w:cs="Tahoma"/>
          <w:color w:val="auto"/>
        </w:rPr>
        <w:t xml:space="preserve"> millones incrementando con respect</w:t>
      </w:r>
      <w:r w:rsidR="00A742F1" w:rsidRPr="00A742F1">
        <w:rPr>
          <w:rFonts w:ascii="Tahoma" w:hAnsi="Tahoma" w:cs="Tahoma"/>
          <w:color w:val="auto"/>
        </w:rPr>
        <w:t xml:space="preserve">o al 2014 su saldo en el </w:t>
      </w:r>
      <w:r w:rsidR="00025ED7">
        <w:rPr>
          <w:rFonts w:ascii="Tahoma" w:hAnsi="Tahoma" w:cs="Tahoma"/>
          <w:color w:val="auto"/>
        </w:rPr>
        <w:t>5.79% ($98.9 millones)</w:t>
      </w:r>
      <w:r w:rsidR="00321B22" w:rsidRPr="00A742F1">
        <w:rPr>
          <w:rFonts w:ascii="Tahoma" w:hAnsi="Tahoma" w:cs="Tahoma"/>
          <w:color w:val="auto"/>
        </w:rPr>
        <w:t xml:space="preserve"> pues en el 2014  </w:t>
      </w:r>
      <w:r w:rsidR="00A742F1" w:rsidRPr="00A742F1">
        <w:rPr>
          <w:rFonts w:ascii="Tahoma" w:hAnsi="Tahoma" w:cs="Tahoma"/>
          <w:color w:val="auto"/>
        </w:rPr>
        <w:t>hab</w:t>
      </w:r>
      <w:r w:rsidR="00025ED7">
        <w:rPr>
          <w:rFonts w:ascii="Tahoma" w:hAnsi="Tahoma" w:cs="Tahoma"/>
          <w:color w:val="auto"/>
        </w:rPr>
        <w:t>ía alcanzado la suma de $1.708,3</w:t>
      </w:r>
      <w:r w:rsidR="00321B22" w:rsidRPr="00A742F1">
        <w:rPr>
          <w:rFonts w:ascii="Tahoma" w:hAnsi="Tahoma" w:cs="Tahoma"/>
          <w:color w:val="auto"/>
        </w:rPr>
        <w:t xml:space="preserve"> millones</w:t>
      </w:r>
      <w:r w:rsidR="00025ED7">
        <w:rPr>
          <w:rFonts w:ascii="Tahoma" w:hAnsi="Tahoma" w:cs="Tahoma"/>
          <w:color w:val="auto"/>
        </w:rPr>
        <w:t>.</w:t>
      </w:r>
    </w:p>
    <w:p w:rsidR="00321B22" w:rsidRPr="000A5A8D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025ED7" w:rsidRPr="006C76E5" w:rsidRDefault="00321B22" w:rsidP="006C76E5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 xml:space="preserve">Para el sector de </w:t>
      </w:r>
      <w:r w:rsidR="00025ED7">
        <w:rPr>
          <w:rFonts w:ascii="Tahoma" w:hAnsi="Tahoma" w:cs="Tahoma"/>
          <w:color w:val="auto"/>
        </w:rPr>
        <w:t>Salud</w:t>
      </w:r>
      <w:r w:rsidRPr="00A742F1">
        <w:rPr>
          <w:rFonts w:ascii="Tahoma" w:hAnsi="Tahoma" w:cs="Tahoma"/>
          <w:color w:val="auto"/>
        </w:rPr>
        <w:t>, se asignaro</w:t>
      </w:r>
      <w:r w:rsidR="00A742F1" w:rsidRPr="00A742F1">
        <w:rPr>
          <w:rFonts w:ascii="Tahoma" w:hAnsi="Tahoma" w:cs="Tahoma"/>
          <w:color w:val="auto"/>
        </w:rPr>
        <w:t>n</w:t>
      </w:r>
      <w:r w:rsidR="00025ED7">
        <w:rPr>
          <w:rFonts w:ascii="Tahoma" w:hAnsi="Tahoma" w:cs="Tahoma"/>
          <w:color w:val="auto"/>
        </w:rPr>
        <w:t xml:space="preserve"> ingresos en cuantía de $540,5</w:t>
      </w:r>
      <w:r w:rsidR="00A742F1" w:rsidRPr="00A742F1">
        <w:rPr>
          <w:rFonts w:ascii="Tahoma" w:hAnsi="Tahoma" w:cs="Tahoma"/>
          <w:color w:val="auto"/>
        </w:rPr>
        <w:t xml:space="preserve"> </w:t>
      </w:r>
      <w:r w:rsidRPr="00A742F1">
        <w:rPr>
          <w:rFonts w:ascii="Tahoma" w:hAnsi="Tahoma" w:cs="Tahoma"/>
          <w:color w:val="auto"/>
        </w:rPr>
        <w:t xml:space="preserve">millones </w:t>
      </w:r>
      <w:r w:rsidR="00025ED7">
        <w:rPr>
          <w:rFonts w:ascii="Tahoma" w:hAnsi="Tahoma" w:cs="Tahoma"/>
          <w:color w:val="auto"/>
        </w:rPr>
        <w:t>que representan el 18.28</w:t>
      </w:r>
      <w:r w:rsidRPr="00A742F1">
        <w:rPr>
          <w:rFonts w:ascii="Tahoma" w:hAnsi="Tahoma" w:cs="Tahoma"/>
          <w:color w:val="auto"/>
        </w:rPr>
        <w:t>% del total de las transferencias del Sistema General de Participaciones, el saldo de la cuenta se incrementó c</w:t>
      </w:r>
      <w:r w:rsidR="00025ED7">
        <w:rPr>
          <w:rFonts w:ascii="Tahoma" w:hAnsi="Tahoma" w:cs="Tahoma"/>
          <w:color w:val="auto"/>
        </w:rPr>
        <w:t>on  respecto al 2014 en un 94.50% representados en $262,2</w:t>
      </w:r>
      <w:r w:rsidRPr="00A742F1">
        <w:rPr>
          <w:rFonts w:ascii="Tahoma" w:hAnsi="Tahoma" w:cs="Tahoma"/>
          <w:color w:val="auto"/>
        </w:rPr>
        <w:t xml:space="preserve"> millones, </w:t>
      </w:r>
      <w:r w:rsidR="00025ED7">
        <w:rPr>
          <w:rFonts w:ascii="Tahoma" w:hAnsi="Tahoma" w:cs="Tahoma"/>
          <w:color w:val="auto"/>
        </w:rPr>
        <w:t xml:space="preserve"> toda vez que la vigencia 2014 había  </w:t>
      </w:r>
      <w:r w:rsidR="00025ED7" w:rsidRPr="00A742F1">
        <w:rPr>
          <w:rFonts w:ascii="Tahoma" w:hAnsi="Tahoma" w:cs="Tahoma"/>
          <w:color w:val="auto"/>
        </w:rPr>
        <w:t>finalizado</w:t>
      </w:r>
      <w:r w:rsidRPr="00A742F1">
        <w:rPr>
          <w:rFonts w:ascii="Tahoma" w:hAnsi="Tahoma" w:cs="Tahoma"/>
          <w:color w:val="auto"/>
        </w:rPr>
        <w:t xml:space="preserve"> </w:t>
      </w:r>
      <w:r w:rsidR="00025ED7">
        <w:rPr>
          <w:rFonts w:ascii="Tahoma" w:hAnsi="Tahoma" w:cs="Tahoma"/>
          <w:color w:val="auto"/>
        </w:rPr>
        <w:t xml:space="preserve"> en $277,8 millones.</w:t>
      </w:r>
    </w:p>
    <w:p w:rsidR="00025ED7" w:rsidRPr="00A742F1" w:rsidRDefault="00025ED7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21B22" w:rsidRPr="000B18CD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B18CD">
        <w:rPr>
          <w:rFonts w:ascii="Tahoma" w:hAnsi="Tahoma" w:cs="Tahoma"/>
          <w:color w:val="auto"/>
        </w:rPr>
        <w:t>Las transferencias por concepto de</w:t>
      </w:r>
      <w:r w:rsidR="002B4D1C">
        <w:rPr>
          <w:rFonts w:ascii="Tahoma" w:hAnsi="Tahoma" w:cs="Tahoma"/>
          <w:color w:val="auto"/>
        </w:rPr>
        <w:t xml:space="preserve">l “Sistema General de </w:t>
      </w:r>
      <w:r w:rsidRPr="000B18CD">
        <w:rPr>
          <w:rFonts w:ascii="Tahoma" w:hAnsi="Tahoma" w:cs="Tahoma"/>
          <w:color w:val="auto"/>
        </w:rPr>
        <w:t xml:space="preserve">Regalías” </w:t>
      </w:r>
      <w:r w:rsidR="00A742F1" w:rsidRPr="000B18CD">
        <w:rPr>
          <w:rFonts w:ascii="Tahoma" w:hAnsi="Tahoma" w:cs="Tahoma"/>
          <w:color w:val="auto"/>
        </w:rPr>
        <w:t xml:space="preserve">disminuyeron </w:t>
      </w:r>
      <w:r w:rsidRPr="000B18CD">
        <w:rPr>
          <w:rFonts w:ascii="Tahoma" w:hAnsi="Tahoma" w:cs="Tahoma"/>
          <w:color w:val="auto"/>
        </w:rPr>
        <w:t>el saldo entre las vigencias 2014 y 2015</w:t>
      </w:r>
      <w:r w:rsidR="002B4D1C">
        <w:rPr>
          <w:rFonts w:ascii="Tahoma" w:hAnsi="Tahoma" w:cs="Tahoma"/>
          <w:color w:val="auto"/>
        </w:rPr>
        <w:t xml:space="preserve"> en $31.7 millones </w:t>
      </w:r>
      <w:r w:rsidR="00A742F1" w:rsidRPr="000B18CD">
        <w:rPr>
          <w:rFonts w:ascii="Tahoma" w:hAnsi="Tahoma" w:cs="Tahoma"/>
          <w:color w:val="auto"/>
        </w:rPr>
        <w:t xml:space="preserve">que representan </w:t>
      </w:r>
      <w:r w:rsidR="000B18CD" w:rsidRPr="000B18CD">
        <w:rPr>
          <w:rFonts w:ascii="Tahoma" w:hAnsi="Tahoma" w:cs="Tahoma"/>
          <w:color w:val="auto"/>
        </w:rPr>
        <w:t xml:space="preserve">un </w:t>
      </w:r>
      <w:r w:rsidR="002B4D1C">
        <w:rPr>
          <w:rFonts w:ascii="Tahoma" w:hAnsi="Tahoma" w:cs="Tahoma"/>
          <w:color w:val="auto"/>
        </w:rPr>
        <w:t xml:space="preserve">decrecimiento del 8.14%  al pasar en el 2014 ($390,4 millones) al 2015 ($358,6 </w:t>
      </w:r>
      <w:r w:rsidRPr="000B18CD">
        <w:rPr>
          <w:rFonts w:ascii="Tahoma" w:hAnsi="Tahoma" w:cs="Tahoma"/>
          <w:color w:val="auto"/>
        </w:rPr>
        <w:t>millones).</w:t>
      </w:r>
    </w:p>
    <w:p w:rsidR="002B4D1C" w:rsidRDefault="002B4D1C" w:rsidP="006C76E5">
      <w:pPr>
        <w:spacing w:before="0" w:after="0" w:line="228" w:lineRule="auto"/>
        <w:ind w:firstLine="142"/>
        <w:jc w:val="both"/>
        <w:rPr>
          <w:rFonts w:ascii="Tahoma" w:hAnsi="Tahoma" w:cs="Tahoma"/>
          <w:b/>
          <w:color w:val="FF0000"/>
        </w:rPr>
      </w:pPr>
    </w:p>
    <w:p w:rsidR="002B4D1C" w:rsidRPr="002B4D1C" w:rsidRDefault="002B4D1C" w:rsidP="006C76E5">
      <w:pPr>
        <w:spacing w:before="0" w:after="0" w:line="228" w:lineRule="auto"/>
        <w:ind w:left="709" w:hanging="709"/>
        <w:jc w:val="both"/>
        <w:rPr>
          <w:rFonts w:ascii="Tahoma" w:hAnsi="Tahoma" w:cs="Tahoma"/>
          <w:color w:val="auto"/>
        </w:rPr>
      </w:pPr>
      <w:r w:rsidRPr="002B4D1C">
        <w:rPr>
          <w:rFonts w:ascii="Tahoma" w:hAnsi="Tahoma" w:cs="Tahoma"/>
          <w:color w:val="auto"/>
        </w:rPr>
        <w:t xml:space="preserve">           </w:t>
      </w:r>
      <w:r>
        <w:rPr>
          <w:rFonts w:ascii="Tahoma" w:hAnsi="Tahoma" w:cs="Tahoma"/>
          <w:color w:val="auto"/>
        </w:rPr>
        <w:t>Los recursos obtenidos por concepto de regalías en el 2015 fueron distribuidos de la s</w:t>
      </w:r>
      <w:r w:rsidR="006C76E5">
        <w:rPr>
          <w:rFonts w:ascii="Tahoma" w:hAnsi="Tahoma" w:cs="Tahoma"/>
          <w:color w:val="auto"/>
        </w:rPr>
        <w:t xml:space="preserve">iguiente manera: El 61,6% ($221,2 </w:t>
      </w:r>
      <w:r>
        <w:rPr>
          <w:rFonts w:ascii="Tahoma" w:hAnsi="Tahoma" w:cs="Tahoma"/>
          <w:color w:val="auto"/>
        </w:rPr>
        <w:t>millones) para</w:t>
      </w:r>
      <w:r w:rsidR="006C76E5">
        <w:rPr>
          <w:rFonts w:ascii="Tahoma" w:hAnsi="Tahoma" w:cs="Tahoma"/>
          <w:color w:val="auto"/>
        </w:rPr>
        <w:t xml:space="preserve"> “Proyectos de Desarrollo Regional</w:t>
      </w:r>
      <w:r>
        <w:rPr>
          <w:rFonts w:ascii="Tahoma" w:hAnsi="Tahoma" w:cs="Tahoma"/>
          <w:color w:val="auto"/>
        </w:rPr>
        <w:t xml:space="preserve">, el 34.24% </w:t>
      </w:r>
      <w:r w:rsidR="006C76E5">
        <w:rPr>
          <w:rFonts w:ascii="Tahoma" w:hAnsi="Tahoma" w:cs="Tahoma"/>
          <w:color w:val="auto"/>
        </w:rPr>
        <w:t xml:space="preserve">($122,8 millones) </w:t>
      </w:r>
      <w:r>
        <w:rPr>
          <w:rFonts w:ascii="Tahoma" w:hAnsi="Tahoma" w:cs="Tahoma"/>
          <w:color w:val="auto"/>
        </w:rPr>
        <w:t>para ahorro pensional territorial y el 4,06%</w:t>
      </w:r>
      <w:r w:rsidR="006C76E5">
        <w:rPr>
          <w:rFonts w:ascii="Tahoma" w:hAnsi="Tahoma" w:cs="Tahoma"/>
          <w:color w:val="auto"/>
        </w:rPr>
        <w:t xml:space="preserve"> ($14,5 millones) para asignaciones directas.</w:t>
      </w:r>
    </w:p>
    <w:p w:rsidR="002B4D1C" w:rsidRPr="000B18CD" w:rsidRDefault="002B4D1C" w:rsidP="006C76E5">
      <w:pPr>
        <w:spacing w:before="0" w:after="0" w:line="228" w:lineRule="auto"/>
        <w:ind w:left="709" w:hanging="709"/>
        <w:jc w:val="both"/>
        <w:rPr>
          <w:rFonts w:ascii="Tahoma" w:hAnsi="Tahoma" w:cs="Tahoma"/>
          <w:b/>
          <w:color w:val="FF0000"/>
        </w:rPr>
      </w:pPr>
    </w:p>
    <w:p w:rsidR="006C76E5" w:rsidRDefault="00321B22" w:rsidP="008B0FFD">
      <w:pPr>
        <w:pStyle w:val="Prrafodelista"/>
        <w:spacing w:before="0" w:after="0" w:line="228" w:lineRule="auto"/>
        <w:ind w:left="709"/>
        <w:jc w:val="both"/>
        <w:rPr>
          <w:rFonts w:ascii="Tahoma" w:hAnsi="Tahoma" w:cs="Tahoma"/>
          <w:color w:val="auto"/>
        </w:rPr>
      </w:pPr>
      <w:r w:rsidRPr="000B18CD">
        <w:rPr>
          <w:rFonts w:ascii="Tahoma" w:hAnsi="Tahoma" w:cs="Tahoma"/>
          <w:color w:val="auto"/>
        </w:rPr>
        <w:t>El total de gasto</w:t>
      </w:r>
      <w:r w:rsidR="006C76E5">
        <w:rPr>
          <w:rFonts w:ascii="Tahoma" w:hAnsi="Tahoma" w:cs="Tahoma"/>
          <w:color w:val="auto"/>
        </w:rPr>
        <w:t>s en el 2015 fue de ($3.487,7</w:t>
      </w:r>
      <w:r w:rsidR="000B18CD" w:rsidRPr="000B18CD">
        <w:rPr>
          <w:rFonts w:ascii="Tahoma" w:hAnsi="Tahoma" w:cs="Tahoma"/>
          <w:color w:val="auto"/>
        </w:rPr>
        <w:t xml:space="preserve"> millones), saldo que pr</w:t>
      </w:r>
      <w:r w:rsidR="006C76E5">
        <w:rPr>
          <w:rFonts w:ascii="Tahoma" w:hAnsi="Tahoma" w:cs="Tahoma"/>
          <w:color w:val="auto"/>
        </w:rPr>
        <w:t>esentó  un crecimiento del 25,18</w:t>
      </w:r>
      <w:r w:rsidRPr="000B18CD">
        <w:rPr>
          <w:rFonts w:ascii="Tahoma" w:hAnsi="Tahoma" w:cs="Tahoma"/>
          <w:color w:val="auto"/>
        </w:rPr>
        <w:t>%</w:t>
      </w:r>
      <w:r w:rsidR="007D5C4B" w:rsidRPr="000B18CD">
        <w:rPr>
          <w:rFonts w:ascii="Tahoma" w:hAnsi="Tahoma" w:cs="Tahoma"/>
          <w:color w:val="auto"/>
        </w:rPr>
        <w:t xml:space="preserve"> frente a lo contabili</w:t>
      </w:r>
      <w:r w:rsidR="006C76E5">
        <w:rPr>
          <w:rFonts w:ascii="Tahoma" w:hAnsi="Tahoma" w:cs="Tahoma"/>
          <w:color w:val="auto"/>
        </w:rPr>
        <w:t>zado en el 2014 ($2.786,2</w:t>
      </w:r>
      <w:r w:rsidR="000B18CD" w:rsidRPr="000B18CD">
        <w:rPr>
          <w:rFonts w:ascii="Tahoma" w:hAnsi="Tahoma" w:cs="Tahoma"/>
          <w:color w:val="auto"/>
        </w:rPr>
        <w:t xml:space="preserve"> millones</w:t>
      </w:r>
      <w:r w:rsidR="007D5C4B" w:rsidRPr="000B18CD">
        <w:rPr>
          <w:rFonts w:ascii="Tahoma" w:hAnsi="Tahoma" w:cs="Tahoma"/>
          <w:color w:val="auto"/>
        </w:rPr>
        <w:t>).</w:t>
      </w:r>
    </w:p>
    <w:p w:rsidR="008B0FFD" w:rsidRPr="008B0FFD" w:rsidRDefault="008B0FFD" w:rsidP="008B0FFD">
      <w:pPr>
        <w:pStyle w:val="Prrafodelista"/>
        <w:spacing w:before="0" w:after="0" w:line="228" w:lineRule="auto"/>
        <w:ind w:left="709"/>
        <w:jc w:val="both"/>
        <w:rPr>
          <w:rFonts w:ascii="Tahoma" w:hAnsi="Tahoma" w:cs="Tahoma"/>
          <w:color w:val="auto"/>
        </w:rPr>
      </w:pPr>
    </w:p>
    <w:p w:rsidR="003E2908" w:rsidRPr="0081311A" w:rsidRDefault="0081311A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81311A">
        <w:rPr>
          <w:rFonts w:ascii="Tahoma" w:hAnsi="Tahoma" w:cs="Tahoma"/>
          <w:color w:val="auto"/>
        </w:rPr>
        <w:t xml:space="preserve">Durante la Vigencia 2015, el </w:t>
      </w:r>
      <w:r w:rsidR="007D5C4B" w:rsidRPr="0081311A">
        <w:rPr>
          <w:rFonts w:ascii="Tahoma" w:hAnsi="Tahoma" w:cs="Tahoma"/>
          <w:color w:val="auto"/>
        </w:rPr>
        <w:t xml:space="preserve">“Gasto Público Social” </w:t>
      </w:r>
      <w:r w:rsidR="0033569C">
        <w:rPr>
          <w:rFonts w:ascii="Tahoma" w:hAnsi="Tahoma" w:cs="Tahoma"/>
          <w:color w:val="auto"/>
        </w:rPr>
        <w:t>contabilizó gastos en cuantía de $2.190,5</w:t>
      </w:r>
      <w:r w:rsidRPr="0081311A">
        <w:rPr>
          <w:rFonts w:ascii="Tahoma" w:hAnsi="Tahoma" w:cs="Tahoma"/>
          <w:color w:val="auto"/>
        </w:rPr>
        <w:t xml:space="preserve"> millones, </w:t>
      </w:r>
      <w:r w:rsidR="007D5C4B" w:rsidRPr="0081311A">
        <w:rPr>
          <w:rFonts w:ascii="Tahoma" w:hAnsi="Tahoma" w:cs="Tahoma"/>
          <w:color w:val="auto"/>
        </w:rPr>
        <w:t xml:space="preserve"> cuenta que p</w:t>
      </w:r>
      <w:r w:rsidR="0033569C">
        <w:rPr>
          <w:rFonts w:ascii="Tahoma" w:hAnsi="Tahoma" w:cs="Tahoma"/>
          <w:color w:val="auto"/>
        </w:rPr>
        <w:t xml:space="preserve">resentó un incremento en su saldo  del 35.27% ($571,1 millones) respecto a los recursos  ejecutados en el 2014 ($1.619,3 millones). </w:t>
      </w:r>
      <w:r w:rsidR="007D5C4B" w:rsidRPr="0081311A">
        <w:rPr>
          <w:rFonts w:ascii="Tahoma" w:hAnsi="Tahoma" w:cs="Tahoma"/>
          <w:color w:val="auto"/>
        </w:rPr>
        <w:t xml:space="preserve">Dentro de este grupo, el sector que más demando gastos fue el sector de </w:t>
      </w:r>
      <w:r w:rsidR="0033569C">
        <w:rPr>
          <w:rFonts w:ascii="Tahoma" w:hAnsi="Tahoma" w:cs="Tahoma"/>
          <w:color w:val="auto"/>
        </w:rPr>
        <w:t>“Desarrollo Comunitario y Bienestar Social”</w:t>
      </w:r>
      <w:r w:rsidR="003E2908" w:rsidRPr="0081311A">
        <w:rPr>
          <w:rFonts w:ascii="Tahoma" w:hAnsi="Tahoma" w:cs="Tahoma"/>
          <w:color w:val="auto"/>
        </w:rPr>
        <w:t>, cuya cuenta</w:t>
      </w:r>
      <w:r w:rsidRPr="0081311A">
        <w:rPr>
          <w:rFonts w:ascii="Tahoma" w:hAnsi="Tahoma" w:cs="Tahoma"/>
          <w:color w:val="auto"/>
        </w:rPr>
        <w:t xml:space="preserve"> </w:t>
      </w:r>
      <w:r w:rsidR="0033569C">
        <w:rPr>
          <w:rFonts w:ascii="Tahoma" w:hAnsi="Tahoma" w:cs="Tahoma"/>
          <w:color w:val="auto"/>
        </w:rPr>
        <w:t>finalizó en el 2015 en $919,7</w:t>
      </w:r>
      <w:r w:rsidRPr="0081311A">
        <w:rPr>
          <w:rFonts w:ascii="Tahoma" w:hAnsi="Tahoma" w:cs="Tahoma"/>
          <w:color w:val="auto"/>
        </w:rPr>
        <w:t xml:space="preserve"> </w:t>
      </w:r>
      <w:r w:rsidR="003E2908" w:rsidRPr="0081311A">
        <w:rPr>
          <w:rFonts w:ascii="Tahoma" w:hAnsi="Tahoma" w:cs="Tahoma"/>
          <w:color w:val="auto"/>
        </w:rPr>
        <w:t>millo</w:t>
      </w:r>
      <w:r w:rsidR="0033569C">
        <w:rPr>
          <w:rFonts w:ascii="Tahoma" w:hAnsi="Tahoma" w:cs="Tahoma"/>
          <w:color w:val="auto"/>
        </w:rPr>
        <w:t>nes con un incremento del 17.97%</w:t>
      </w:r>
      <w:r w:rsidRPr="0081311A">
        <w:rPr>
          <w:rFonts w:ascii="Tahoma" w:hAnsi="Tahoma" w:cs="Tahoma"/>
          <w:color w:val="auto"/>
        </w:rPr>
        <w:t>% entre las dos anual</w:t>
      </w:r>
      <w:r w:rsidR="0033569C">
        <w:rPr>
          <w:rFonts w:ascii="Tahoma" w:hAnsi="Tahoma" w:cs="Tahoma"/>
          <w:color w:val="auto"/>
        </w:rPr>
        <w:t>idades</w:t>
      </w:r>
      <w:r w:rsidR="00DB2993">
        <w:rPr>
          <w:rFonts w:ascii="Tahoma" w:hAnsi="Tahoma" w:cs="Tahoma"/>
          <w:color w:val="auto"/>
        </w:rPr>
        <w:t xml:space="preserve"> 2014 y 2015</w:t>
      </w:r>
      <w:r w:rsidR="0033569C">
        <w:rPr>
          <w:rFonts w:ascii="Tahoma" w:hAnsi="Tahoma" w:cs="Tahoma"/>
          <w:color w:val="auto"/>
        </w:rPr>
        <w:t xml:space="preserve"> representados en $6.4</w:t>
      </w:r>
      <w:r w:rsidRPr="0081311A">
        <w:rPr>
          <w:rFonts w:ascii="Tahoma" w:hAnsi="Tahoma" w:cs="Tahoma"/>
          <w:color w:val="auto"/>
        </w:rPr>
        <w:t xml:space="preserve"> millones.</w:t>
      </w:r>
    </w:p>
    <w:p w:rsidR="003E2908" w:rsidRPr="000A5A8D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3E2908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6199A">
        <w:rPr>
          <w:rFonts w:ascii="Tahoma" w:hAnsi="Tahoma" w:cs="Tahoma"/>
          <w:color w:val="auto"/>
        </w:rPr>
        <w:t xml:space="preserve">Sobresale de igual forma </w:t>
      </w:r>
      <w:r w:rsidR="00F92364">
        <w:rPr>
          <w:rFonts w:ascii="Tahoma" w:hAnsi="Tahoma" w:cs="Tahoma"/>
          <w:color w:val="auto"/>
        </w:rPr>
        <w:t xml:space="preserve">la participación de recursos destinados para los sectores de Salud y Agua Potable cuya participación sobre el total del “Gasto Público” alcanza el 22%, no obstante el análisis individual por cuenta permite aseverar </w:t>
      </w:r>
      <w:r w:rsidRPr="00C6199A">
        <w:rPr>
          <w:rFonts w:ascii="Tahoma" w:hAnsi="Tahoma" w:cs="Tahoma"/>
          <w:color w:val="auto"/>
        </w:rPr>
        <w:t>el incremento porcentual de</w:t>
      </w:r>
      <w:r w:rsidR="0081311A" w:rsidRPr="00C6199A">
        <w:rPr>
          <w:rFonts w:ascii="Tahoma" w:hAnsi="Tahoma" w:cs="Tahoma"/>
          <w:color w:val="auto"/>
        </w:rPr>
        <w:t xml:space="preserve">l </w:t>
      </w:r>
      <w:r w:rsidR="00DB2993">
        <w:rPr>
          <w:rFonts w:ascii="Tahoma" w:hAnsi="Tahoma" w:cs="Tahoma"/>
          <w:color w:val="auto"/>
        </w:rPr>
        <w:t>272.8</w:t>
      </w:r>
      <w:r w:rsidR="0081311A" w:rsidRPr="00C6199A">
        <w:rPr>
          <w:rFonts w:ascii="Tahoma" w:hAnsi="Tahoma" w:cs="Tahoma"/>
          <w:color w:val="auto"/>
        </w:rPr>
        <w:t>% destin</w:t>
      </w:r>
      <w:r w:rsidR="00DB2993">
        <w:rPr>
          <w:rFonts w:ascii="Tahoma" w:hAnsi="Tahoma" w:cs="Tahoma"/>
          <w:color w:val="auto"/>
        </w:rPr>
        <w:t xml:space="preserve">ados para el sector Agua Potable y Saneamiento Básico, pasando del 2014 ($133,8 millones) al 2015 en ($498,9 millones). </w:t>
      </w:r>
      <w:r w:rsidR="0081311A" w:rsidRPr="00C6199A">
        <w:rPr>
          <w:rFonts w:ascii="Tahoma" w:hAnsi="Tahoma" w:cs="Tahoma"/>
          <w:color w:val="auto"/>
        </w:rPr>
        <w:t xml:space="preserve"> </w:t>
      </w:r>
      <w:r w:rsidRPr="00C6199A">
        <w:rPr>
          <w:rFonts w:ascii="Tahoma" w:hAnsi="Tahoma" w:cs="Tahoma"/>
          <w:color w:val="auto"/>
        </w:rPr>
        <w:t xml:space="preserve"> </w:t>
      </w:r>
    </w:p>
    <w:p w:rsidR="00DB2993" w:rsidRDefault="00DB2993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DB2993" w:rsidRDefault="00DB2993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El Total de gastos contabilizados para el sector salud en el 2015 ascendió a ($495,4 millones) con un incremento del 51.18% ($167,7 millones) entre las anualidades 2014 y 2015.</w:t>
      </w:r>
    </w:p>
    <w:p w:rsidR="00DB2993" w:rsidRDefault="00DB2993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DB2993" w:rsidRDefault="00DB2993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Para el sector Medio Ambiente, se ejecutaron gastos en cuantía de $8,5 millones, saldo que fue incrementado en un 307,28% frente al saldo final del 2014</w:t>
      </w:r>
      <w:r w:rsidR="008B0FFD">
        <w:rPr>
          <w:rFonts w:ascii="Tahoma" w:hAnsi="Tahoma" w:cs="Tahoma"/>
          <w:color w:val="auto"/>
        </w:rPr>
        <w:t>.</w:t>
      </w:r>
    </w:p>
    <w:p w:rsidR="008B0FFD" w:rsidRPr="008B0FFD" w:rsidRDefault="008B0FFD" w:rsidP="008B0FF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7D5C4B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6199A">
        <w:rPr>
          <w:rFonts w:ascii="Tahoma" w:hAnsi="Tahoma" w:cs="Tahoma"/>
          <w:color w:val="auto"/>
        </w:rPr>
        <w:t xml:space="preserve">La Cuenta Otros Gastos, finalizó la </w:t>
      </w:r>
      <w:r w:rsidR="00C6199A" w:rsidRPr="00C6199A">
        <w:rPr>
          <w:rFonts w:ascii="Tahoma" w:hAnsi="Tahoma" w:cs="Tahoma"/>
          <w:color w:val="auto"/>
        </w:rPr>
        <w:t>anualidad</w:t>
      </w:r>
      <w:r w:rsidR="008B0FFD">
        <w:rPr>
          <w:rFonts w:ascii="Tahoma" w:hAnsi="Tahoma" w:cs="Tahoma"/>
          <w:color w:val="auto"/>
        </w:rPr>
        <w:t xml:space="preserve"> 2015 con un saldo de $338,8</w:t>
      </w:r>
      <w:r w:rsidRPr="00C6199A">
        <w:rPr>
          <w:rFonts w:ascii="Tahoma" w:hAnsi="Tahoma" w:cs="Tahoma"/>
          <w:color w:val="auto"/>
        </w:rPr>
        <w:t xml:space="preserve"> mi</w:t>
      </w:r>
      <w:r w:rsidR="00C6199A" w:rsidRPr="00C6199A">
        <w:rPr>
          <w:rFonts w:ascii="Tahoma" w:hAnsi="Tahoma" w:cs="Tahoma"/>
          <w:color w:val="auto"/>
        </w:rPr>
        <w:t>ll</w:t>
      </w:r>
      <w:r w:rsidR="008B0FFD">
        <w:rPr>
          <w:rFonts w:ascii="Tahoma" w:hAnsi="Tahoma" w:cs="Tahoma"/>
          <w:color w:val="auto"/>
        </w:rPr>
        <w:t>ones incrementando en un 277,02</w:t>
      </w:r>
      <w:r w:rsidR="00C6199A" w:rsidRPr="00C6199A">
        <w:rPr>
          <w:rFonts w:ascii="Tahoma" w:hAnsi="Tahoma" w:cs="Tahoma"/>
          <w:color w:val="auto"/>
        </w:rPr>
        <w:t>%</w:t>
      </w:r>
      <w:r w:rsidRPr="00C6199A">
        <w:rPr>
          <w:rFonts w:ascii="Tahoma" w:hAnsi="Tahoma" w:cs="Tahoma"/>
          <w:color w:val="auto"/>
        </w:rPr>
        <w:t xml:space="preserve"> el saldo percibido en el 2014 que alc</w:t>
      </w:r>
      <w:r w:rsidR="008B0FFD">
        <w:rPr>
          <w:rFonts w:ascii="Tahoma" w:hAnsi="Tahoma" w:cs="Tahoma"/>
          <w:color w:val="auto"/>
        </w:rPr>
        <w:t xml:space="preserve">anzo la suma de ($89,8 </w:t>
      </w:r>
      <w:r w:rsidR="00C6199A" w:rsidRPr="00C6199A">
        <w:rPr>
          <w:rFonts w:ascii="Tahoma" w:hAnsi="Tahoma" w:cs="Tahoma"/>
          <w:color w:val="auto"/>
        </w:rPr>
        <w:t>millones</w:t>
      </w:r>
      <w:r w:rsidRPr="00C6199A">
        <w:rPr>
          <w:rFonts w:ascii="Tahoma" w:hAnsi="Tahoma" w:cs="Tahoma"/>
          <w:color w:val="auto"/>
        </w:rPr>
        <w:t>).</w:t>
      </w:r>
      <w:r w:rsidR="007D5C4B" w:rsidRPr="00C6199A">
        <w:rPr>
          <w:rFonts w:ascii="Tahoma" w:hAnsi="Tahoma" w:cs="Tahoma"/>
          <w:color w:val="auto"/>
        </w:rPr>
        <w:t xml:space="preserve"> </w:t>
      </w:r>
    </w:p>
    <w:p w:rsidR="0081311A" w:rsidRPr="000A5A8D" w:rsidRDefault="0081311A" w:rsidP="00AD4CE9">
      <w:pPr>
        <w:spacing w:before="0" w:after="0" w:line="228" w:lineRule="auto"/>
        <w:rPr>
          <w:rFonts w:ascii="Tahoma" w:hAnsi="Tahoma" w:cs="Tahoma"/>
          <w:color w:val="FF0000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lastRenderedPageBreak/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8B0FFD">
        <w:rPr>
          <w:rFonts w:ascii="Tahoma" w:hAnsi="Tahoma" w:cs="Tahoma"/>
        </w:rPr>
        <w:t>1.049.759</w:t>
      </w:r>
    </w:p>
    <w:p w:rsidR="00160B31" w:rsidRPr="00AD4CE9" w:rsidRDefault="008B0FF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1.081.275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8B0FFD">
        <w:rPr>
          <w:rFonts w:ascii="Tahoma" w:hAnsi="Tahoma" w:cs="Tahoma"/>
        </w:rPr>
        <w:t xml:space="preserve">    542.062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108E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8B0FFD">
        <w:rPr>
          <w:rFonts w:ascii="Tahoma" w:hAnsi="Tahoma" w:cs="Tahoma"/>
        </w:rPr>
        <w:t xml:space="preserve"> $2.673.096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 xml:space="preserve">de crédito </w:t>
      </w:r>
      <w:r w:rsidR="008B0FFD">
        <w:rPr>
          <w:rFonts w:ascii="Tahoma" w:hAnsi="Tahoma" w:cs="Tahoma"/>
        </w:rPr>
        <w:t>público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C6199A">
        <w:rPr>
          <w:rFonts w:ascii="Tahoma" w:hAnsi="Tahoma" w:cs="Tahoma"/>
        </w:rPr>
        <w:t xml:space="preserve">   </w:t>
      </w:r>
      <w:r w:rsidR="008B0FFD">
        <w:rPr>
          <w:rFonts w:ascii="Tahoma" w:hAnsi="Tahoma" w:cs="Tahoma"/>
        </w:rPr>
        <w:t>162.566</w:t>
      </w:r>
    </w:p>
    <w:p w:rsidR="001666F5" w:rsidRPr="00AD4CE9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</w:t>
      </w:r>
      <w:r w:rsidR="008B0FFD">
        <w:rPr>
          <w:rFonts w:ascii="Tahoma" w:hAnsi="Tahoma" w:cs="Tahoma"/>
        </w:rPr>
        <w:t>entas por Pagar</w:t>
      </w:r>
      <w:r w:rsidR="008B0FFD">
        <w:rPr>
          <w:rFonts w:ascii="Tahoma" w:hAnsi="Tahoma" w:cs="Tahoma"/>
        </w:rPr>
        <w:tab/>
      </w:r>
      <w:r w:rsidR="008B0FFD">
        <w:rPr>
          <w:rFonts w:ascii="Tahoma" w:hAnsi="Tahoma" w:cs="Tahoma"/>
        </w:rPr>
        <w:tab/>
      </w:r>
      <w:r w:rsidR="008B0FFD">
        <w:rPr>
          <w:rFonts w:ascii="Tahoma" w:hAnsi="Tahoma" w:cs="Tahoma"/>
        </w:rPr>
        <w:tab/>
      </w:r>
      <w:r w:rsidR="008B0FFD">
        <w:rPr>
          <w:rFonts w:ascii="Tahoma" w:hAnsi="Tahoma" w:cs="Tahoma"/>
        </w:rPr>
        <w:tab/>
        <w:t xml:space="preserve">       842.164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  <w:r w:rsidR="003B7636">
        <w:rPr>
          <w:rFonts w:ascii="Tahoma" w:hAnsi="Tahoma" w:cs="Tahoma"/>
        </w:rPr>
        <w:t xml:space="preserve"> 136.918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3B7636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$1.141.648</w:t>
      </w:r>
    </w:p>
    <w:p w:rsidR="00C6199A" w:rsidRDefault="00C6199A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3B7636">
        <w:rPr>
          <w:rFonts w:ascii="Tahoma" w:hAnsi="Tahoma" w:cs="Tahoma"/>
        </w:rPr>
        <w:t xml:space="preserve"> Corriente  $2.673.096/ $1.141.648=2.34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3B7636">
        <w:rPr>
          <w:rFonts w:ascii="Tahoma" w:hAnsi="Tahoma" w:cs="Tahoma"/>
        </w:rPr>
        <w:t>tración Municipal de Valle de San Juan,</w:t>
      </w:r>
      <w:r w:rsidR="0083318E">
        <w:rPr>
          <w:rFonts w:ascii="Tahoma" w:hAnsi="Tahoma" w:cs="Tahoma"/>
        </w:rPr>
        <w:t xml:space="preserve"> </w:t>
      </w:r>
      <w:r w:rsidR="003B7636">
        <w:rPr>
          <w:rFonts w:ascii="Tahoma" w:hAnsi="Tahoma" w:cs="Tahoma"/>
        </w:rPr>
        <w:t xml:space="preserve"> debe a corto plazo</w:t>
      </w:r>
      <w:r w:rsidRPr="00AD4CE9">
        <w:rPr>
          <w:rFonts w:ascii="Tahoma" w:hAnsi="Tahoma" w:cs="Tahoma"/>
        </w:rPr>
        <w:t xml:space="preserve"> cuenta con </w:t>
      </w:r>
      <w:r w:rsidR="003B7636">
        <w:rPr>
          <w:rFonts w:ascii="Tahoma" w:hAnsi="Tahoma" w:cs="Tahoma"/>
        </w:rPr>
        <w:t>2.3</w:t>
      </w:r>
      <w:r w:rsidR="00C6199A">
        <w:rPr>
          <w:rFonts w:ascii="Tahoma" w:hAnsi="Tahoma" w:cs="Tahoma"/>
        </w:rPr>
        <w:t>4</w:t>
      </w:r>
      <w:r w:rsidR="008D6CE6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C772D1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$2.673.096- $1.141.648=</w:t>
      </w:r>
      <w:r w:rsidR="00AC1028">
        <w:rPr>
          <w:rFonts w:ascii="Tahoma" w:hAnsi="Tahoma" w:cs="Tahoma"/>
        </w:rPr>
        <w:t>$1.531.448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AC102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$1.141.648</w:t>
      </w:r>
      <w:r w:rsidR="00310359">
        <w:rPr>
          <w:rFonts w:ascii="Tahoma" w:hAnsi="Tahoma" w:cs="Tahoma"/>
        </w:rPr>
        <w:t>/</w:t>
      </w:r>
      <w:r w:rsidR="00C6199A">
        <w:rPr>
          <w:rFonts w:ascii="Tahoma" w:hAnsi="Tahoma" w:cs="Tahoma"/>
        </w:rPr>
        <w:t>$</w:t>
      </w:r>
      <w:r>
        <w:rPr>
          <w:rFonts w:ascii="Tahoma" w:hAnsi="Tahoma" w:cs="Tahoma"/>
        </w:rPr>
        <w:t>12.462.643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9.16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AC1028">
        <w:rPr>
          <w:rFonts w:ascii="Tahoma" w:hAnsi="Tahoma" w:cs="Tahoma"/>
        </w:rPr>
        <w:t>9.16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AC1028">
        <w:rPr>
          <w:rFonts w:ascii="Tahoma" w:hAnsi="Tahoma" w:cs="Tahoma"/>
        </w:rPr>
        <w:t>5.287.085/12.462.643</w:t>
      </w:r>
      <w:r w:rsidR="005A36ED" w:rsidRPr="00AD4CE9">
        <w:rPr>
          <w:rFonts w:ascii="Tahoma" w:hAnsi="Tahoma" w:cs="Tahoma"/>
        </w:rPr>
        <w:t xml:space="preserve"> </w:t>
      </w:r>
      <w:r w:rsidR="00AC1028">
        <w:rPr>
          <w:rFonts w:ascii="Tahoma" w:hAnsi="Tahoma" w:cs="Tahoma"/>
        </w:rPr>
        <w:t>=42.42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AC1028">
        <w:rPr>
          <w:rFonts w:ascii="Tahoma" w:hAnsi="Tahoma" w:cs="Tahoma"/>
        </w:rPr>
        <w:t>que el 42.42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8D6CE6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566BF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Valle de San Juan, </w:t>
      </w:r>
      <w:r w:rsidR="006756E8" w:rsidRPr="00AD4CE9">
        <w:rPr>
          <w:rFonts w:ascii="Tahoma" w:hAnsi="Tahoma" w:cs="Tahoma"/>
        </w:rPr>
        <w:t>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acuerdo con su Balance General terminado en la fecha</w:t>
      </w:r>
      <w:r>
        <w:rPr>
          <w:rFonts w:ascii="Tahoma" w:hAnsi="Tahoma" w:cs="Tahoma"/>
        </w:rPr>
        <w:t xml:space="preserve"> 31 de diciembre de 2015</w:t>
      </w:r>
      <w:r w:rsidR="006756E8" w:rsidRPr="00AD4CE9">
        <w:rPr>
          <w:rFonts w:ascii="Tahoma" w:hAnsi="Tahoma" w:cs="Tahoma"/>
        </w:rPr>
        <w:t xml:space="preserve">, se observa que sus activos totales crecieron un </w:t>
      </w:r>
      <w:r>
        <w:rPr>
          <w:rFonts w:ascii="Tahoma" w:hAnsi="Tahoma" w:cs="Tahoma"/>
        </w:rPr>
        <w:t>30.19</w:t>
      </w:r>
      <w:r w:rsidR="00C54464">
        <w:rPr>
          <w:rFonts w:ascii="Tahoma" w:hAnsi="Tahoma" w:cs="Tahoma"/>
        </w:rPr>
        <w:t>% en la</w:t>
      </w:r>
      <w:r>
        <w:rPr>
          <w:rFonts w:ascii="Tahoma" w:hAnsi="Tahoma" w:cs="Tahoma"/>
        </w:rPr>
        <w:t xml:space="preserve"> suma de  $2.890,5</w:t>
      </w:r>
      <w:r w:rsidR="008D6CE6">
        <w:rPr>
          <w:rFonts w:ascii="Tahoma" w:hAnsi="Tahoma" w:cs="Tahoma"/>
        </w:rPr>
        <w:t xml:space="preserve"> millones</w:t>
      </w:r>
      <w:r w:rsidR="00402C3D">
        <w:rPr>
          <w:rFonts w:ascii="Tahoma" w:hAnsi="Tahoma" w:cs="Tahoma"/>
        </w:rPr>
        <w:t>, con relación al periodo 2014</w:t>
      </w:r>
      <w:r>
        <w:rPr>
          <w:rFonts w:ascii="Tahoma" w:hAnsi="Tahoma" w:cs="Tahoma"/>
        </w:rPr>
        <w:t>, reflejados en el incremento de la cuenta “Otros Activos”.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C54464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 patrimonio </w:t>
      </w:r>
      <w:r w:rsidR="00566BFF">
        <w:rPr>
          <w:rFonts w:ascii="Tahoma" w:hAnsi="Tahoma" w:cs="Tahoma"/>
        </w:rPr>
        <w:t>se incrementó  en un 7.86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 w:rsidR="002613E4">
        <w:rPr>
          <w:rFonts w:ascii="Tahoma" w:hAnsi="Tahoma" w:cs="Tahoma"/>
        </w:rPr>
        <w:t xml:space="preserve">de Hacienda Pública, </w:t>
      </w:r>
      <w:r w:rsidR="00B74E57">
        <w:rPr>
          <w:rFonts w:ascii="Tahoma" w:hAnsi="Tahoma" w:cs="Tahoma"/>
        </w:rPr>
        <w:t xml:space="preserve"> que p</w:t>
      </w:r>
      <w:r w:rsidR="002613E4">
        <w:rPr>
          <w:rFonts w:ascii="Tahoma" w:hAnsi="Tahoma" w:cs="Tahoma"/>
        </w:rPr>
        <w:t xml:space="preserve">resenta </w:t>
      </w:r>
      <w:r w:rsidR="008D6CE6">
        <w:rPr>
          <w:rFonts w:ascii="Tahoma" w:hAnsi="Tahoma" w:cs="Tahoma"/>
        </w:rPr>
        <w:t xml:space="preserve">el mismo </w:t>
      </w:r>
      <w:r w:rsidR="00566BFF">
        <w:rPr>
          <w:rFonts w:ascii="Tahoma" w:hAnsi="Tahoma" w:cs="Tahoma"/>
        </w:rPr>
        <w:t xml:space="preserve">crecimiento </w:t>
      </w:r>
      <w:r w:rsidR="000D2062" w:rsidRPr="00AD4CE9">
        <w:rPr>
          <w:rFonts w:ascii="Tahoma" w:hAnsi="Tahoma" w:cs="Tahoma"/>
        </w:rPr>
        <w:t>por la suma de $</w:t>
      </w:r>
      <w:r w:rsidR="00566BFF">
        <w:rPr>
          <w:rFonts w:ascii="Tahoma" w:hAnsi="Tahoma" w:cs="Tahoma"/>
        </w:rPr>
        <w:t>385,2</w:t>
      </w:r>
      <w:r w:rsidR="008D6CE6">
        <w:rPr>
          <w:rFonts w:ascii="Tahoma" w:hAnsi="Tahoma" w:cs="Tahoma"/>
        </w:rPr>
        <w:t xml:space="preserve"> millones</w:t>
      </w:r>
      <w:r w:rsidR="00B74E57">
        <w:rPr>
          <w:rFonts w:ascii="Tahoma" w:hAnsi="Tahoma" w:cs="Tahoma"/>
        </w:rPr>
        <w:t>.</w:t>
      </w:r>
    </w:p>
    <w:p w:rsidR="00C54464" w:rsidRPr="00AD4CE9" w:rsidRDefault="00C54464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D57CB4">
        <w:rPr>
          <w:rFonts w:ascii="Tahoma" w:hAnsi="Tahoma" w:cs="Tahoma"/>
        </w:rPr>
        <w:t>a en el 57,57</w:t>
      </w:r>
      <w:r w:rsidR="004622C7">
        <w:rPr>
          <w:rFonts w:ascii="Tahoma" w:hAnsi="Tahoma" w:cs="Tahoma"/>
        </w:rPr>
        <w:t>%</w:t>
      </w:r>
      <w:r w:rsidR="00D57CB4">
        <w:rPr>
          <w:rFonts w:ascii="Tahoma" w:hAnsi="Tahoma" w:cs="Tahoma"/>
        </w:rPr>
        <w:t xml:space="preserve"> en </w:t>
      </w:r>
      <w:r w:rsidR="004622C7">
        <w:rPr>
          <w:rFonts w:ascii="Tahoma" w:hAnsi="Tahoma" w:cs="Tahoma"/>
        </w:rPr>
        <w:t xml:space="preserve"> los</w:t>
      </w:r>
      <w:r w:rsidR="00D57CB4">
        <w:rPr>
          <w:rFonts w:ascii="Tahoma" w:hAnsi="Tahoma" w:cs="Tahoma"/>
        </w:rPr>
        <w:t xml:space="preserve"> pasivos y el 42.43</w:t>
      </w:r>
      <w:r w:rsidRPr="00AD4CE9">
        <w:rPr>
          <w:rFonts w:ascii="Tahoma" w:hAnsi="Tahoma" w:cs="Tahoma"/>
        </w:rPr>
        <w:t>%</w:t>
      </w:r>
      <w:r w:rsidR="00D57CB4">
        <w:rPr>
          <w:rFonts w:ascii="Tahoma" w:hAnsi="Tahoma" w:cs="Tahoma"/>
        </w:rPr>
        <w:t xml:space="preserve"> en </w:t>
      </w:r>
      <w:r w:rsidRPr="00AD4CE9">
        <w:rPr>
          <w:rFonts w:ascii="Tahoma" w:hAnsi="Tahoma" w:cs="Tahoma"/>
        </w:rPr>
        <w:t xml:space="preserve">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municipio present</w:t>
      </w:r>
      <w:r w:rsidR="00D57CB4">
        <w:rPr>
          <w:rFonts w:ascii="Tahoma" w:hAnsi="Tahoma" w:cs="Tahoma"/>
        </w:rPr>
        <w:t>a un nivel de endeudamiento alto</w:t>
      </w:r>
      <w:r w:rsidRPr="00AD4CE9">
        <w:rPr>
          <w:rFonts w:ascii="Tahoma" w:hAnsi="Tahoma" w:cs="Tahoma"/>
        </w:rPr>
        <w:t xml:space="preserve"> respecto al total de sus activos, alcanzando un margen del </w:t>
      </w:r>
      <w:r w:rsidR="00D57CB4">
        <w:rPr>
          <w:rFonts w:ascii="Tahoma" w:hAnsi="Tahoma" w:cs="Tahoma"/>
        </w:rPr>
        <w:t>9.16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D57CB4">
        <w:rPr>
          <w:rFonts w:ascii="Tahoma" w:hAnsi="Tahoma" w:cs="Tahoma"/>
        </w:rPr>
        <w:t xml:space="preserve">io de Valle de San Juan </w:t>
      </w:r>
      <w:r w:rsidR="00FE7F94">
        <w:rPr>
          <w:rFonts w:ascii="Tahoma" w:hAnsi="Tahoma" w:cs="Tahoma"/>
        </w:rPr>
        <w:t xml:space="preserve">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F76BE7">
      <w:headerReference w:type="default" r:id="rId12"/>
      <w:footerReference w:type="default" r:id="rId13"/>
      <w:pgSz w:w="12242" w:h="15842" w:code="1"/>
      <w:pgMar w:top="2376" w:right="1701" w:bottom="2268" w:left="2410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A75" w:rsidRDefault="00167A75" w:rsidP="00650A99">
      <w:r>
        <w:separator/>
      </w:r>
    </w:p>
  </w:endnote>
  <w:endnote w:type="continuationSeparator" w:id="0">
    <w:p w:rsidR="00167A75" w:rsidRDefault="00167A75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91F1F89" wp14:editId="0A09798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DA1748" w:rsidRPr="00DA174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10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DA1748">
                            <w:fldChar w:fldCharType="begin"/>
                          </w:r>
                          <w:r w:rsidR="00DA1748">
                            <w:instrText>NUMPAGES  \* Arabic  \* MERGEFORMAT</w:instrText>
                          </w:r>
                          <w:r w:rsidR="00DA1748">
                            <w:fldChar w:fldCharType="separate"/>
                          </w:r>
                          <w:r w:rsidR="00DA1748" w:rsidRPr="00DA174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10</w:t>
                          </w:r>
                          <w:r w:rsidR="00DA174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F1F8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DA1748" w:rsidRPr="00DA174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10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DA1748">
                      <w:fldChar w:fldCharType="begin"/>
                    </w:r>
                    <w:r w:rsidR="00DA1748">
                      <w:instrText>NUMPAGES  \* Arabic  \* MERGEFORMAT</w:instrText>
                    </w:r>
                    <w:r w:rsidR="00DA1748">
                      <w:fldChar w:fldCharType="separate"/>
                    </w:r>
                    <w:r w:rsidR="00DA1748" w:rsidRPr="00DA174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10</w:t>
                    </w:r>
                    <w:r w:rsidR="00DA174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87F0B5" wp14:editId="022A203B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87F0B5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232E0F" wp14:editId="51AAB8E3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DA1748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232E0F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DA1748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A75" w:rsidRDefault="00167A75" w:rsidP="00650A99">
      <w:r>
        <w:separator/>
      </w:r>
    </w:p>
  </w:footnote>
  <w:footnote w:type="continuationSeparator" w:id="0">
    <w:p w:rsidR="00167A75" w:rsidRDefault="00167A75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F76BE7">
    <w:pPr>
      <w:pStyle w:val="Encabezado"/>
    </w:pPr>
    <w:r>
      <w:rPr>
        <w:noProof/>
      </w:rPr>
      <w:drawing>
        <wp:inline distT="0" distB="0" distL="0" distR="0" wp14:anchorId="37A2281E" wp14:editId="62E9CC21">
          <wp:extent cx="1571625" cy="1219200"/>
          <wp:effectExtent l="0" t="0" r="9525" b="0"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25ED7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66FA5"/>
    <w:rsid w:val="00070555"/>
    <w:rsid w:val="0007281C"/>
    <w:rsid w:val="00072DF8"/>
    <w:rsid w:val="00073152"/>
    <w:rsid w:val="000732A3"/>
    <w:rsid w:val="00074463"/>
    <w:rsid w:val="00074EF9"/>
    <w:rsid w:val="00080622"/>
    <w:rsid w:val="00081AAB"/>
    <w:rsid w:val="00084FFA"/>
    <w:rsid w:val="00090F81"/>
    <w:rsid w:val="000913E2"/>
    <w:rsid w:val="00092432"/>
    <w:rsid w:val="00092D3A"/>
    <w:rsid w:val="00096CAD"/>
    <w:rsid w:val="000971C2"/>
    <w:rsid w:val="000A4FDA"/>
    <w:rsid w:val="000A5A8D"/>
    <w:rsid w:val="000A5F72"/>
    <w:rsid w:val="000B18CD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4FA1"/>
    <w:rsid w:val="001077DC"/>
    <w:rsid w:val="00110EA7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17F8"/>
    <w:rsid w:val="00163663"/>
    <w:rsid w:val="001666F5"/>
    <w:rsid w:val="00167A75"/>
    <w:rsid w:val="00171674"/>
    <w:rsid w:val="0017250D"/>
    <w:rsid w:val="001A5473"/>
    <w:rsid w:val="001B4378"/>
    <w:rsid w:val="001B7E9B"/>
    <w:rsid w:val="001D26AE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A6349"/>
    <w:rsid w:val="002B4D1C"/>
    <w:rsid w:val="002C24CB"/>
    <w:rsid w:val="002C31ED"/>
    <w:rsid w:val="002D03DF"/>
    <w:rsid w:val="002D3A88"/>
    <w:rsid w:val="002D51B5"/>
    <w:rsid w:val="002D62AF"/>
    <w:rsid w:val="002D6719"/>
    <w:rsid w:val="002E1436"/>
    <w:rsid w:val="002E3EC0"/>
    <w:rsid w:val="002E7240"/>
    <w:rsid w:val="002F54E8"/>
    <w:rsid w:val="003026A2"/>
    <w:rsid w:val="00303824"/>
    <w:rsid w:val="00306CC6"/>
    <w:rsid w:val="00310359"/>
    <w:rsid w:val="003108E9"/>
    <w:rsid w:val="00313CA5"/>
    <w:rsid w:val="003205FF"/>
    <w:rsid w:val="00321B22"/>
    <w:rsid w:val="00321EC8"/>
    <w:rsid w:val="003242F1"/>
    <w:rsid w:val="00325332"/>
    <w:rsid w:val="003305B2"/>
    <w:rsid w:val="00332DE4"/>
    <w:rsid w:val="00334968"/>
    <w:rsid w:val="0033569C"/>
    <w:rsid w:val="00336C53"/>
    <w:rsid w:val="00341B3E"/>
    <w:rsid w:val="00351487"/>
    <w:rsid w:val="003529A7"/>
    <w:rsid w:val="00356B3F"/>
    <w:rsid w:val="003578AE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636"/>
    <w:rsid w:val="003B7F8F"/>
    <w:rsid w:val="003C0774"/>
    <w:rsid w:val="003C5E57"/>
    <w:rsid w:val="003D499A"/>
    <w:rsid w:val="003D5BDF"/>
    <w:rsid w:val="003E25A9"/>
    <w:rsid w:val="003E2908"/>
    <w:rsid w:val="003E5E8B"/>
    <w:rsid w:val="003F5E08"/>
    <w:rsid w:val="00402C3D"/>
    <w:rsid w:val="004032C1"/>
    <w:rsid w:val="00407637"/>
    <w:rsid w:val="004120E2"/>
    <w:rsid w:val="00423359"/>
    <w:rsid w:val="0042656D"/>
    <w:rsid w:val="00426FB0"/>
    <w:rsid w:val="00430D77"/>
    <w:rsid w:val="00440EAB"/>
    <w:rsid w:val="00452E65"/>
    <w:rsid w:val="00454B8B"/>
    <w:rsid w:val="00461871"/>
    <w:rsid w:val="004622C7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B3A54"/>
    <w:rsid w:val="004C10FE"/>
    <w:rsid w:val="004C250E"/>
    <w:rsid w:val="004C27B6"/>
    <w:rsid w:val="004C2EA2"/>
    <w:rsid w:val="004E17F3"/>
    <w:rsid w:val="004E3F57"/>
    <w:rsid w:val="004E585C"/>
    <w:rsid w:val="004F2F93"/>
    <w:rsid w:val="004F2FD5"/>
    <w:rsid w:val="004F4C50"/>
    <w:rsid w:val="00506345"/>
    <w:rsid w:val="00516E68"/>
    <w:rsid w:val="00520FA4"/>
    <w:rsid w:val="00521171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66BFF"/>
    <w:rsid w:val="00585BCF"/>
    <w:rsid w:val="00585ED0"/>
    <w:rsid w:val="00590A7E"/>
    <w:rsid w:val="005916D2"/>
    <w:rsid w:val="00595ED2"/>
    <w:rsid w:val="005A36ED"/>
    <w:rsid w:val="005A4F01"/>
    <w:rsid w:val="005B6F12"/>
    <w:rsid w:val="005C0F5C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5CBC"/>
    <w:rsid w:val="00617A76"/>
    <w:rsid w:val="00617E98"/>
    <w:rsid w:val="0062226C"/>
    <w:rsid w:val="00630301"/>
    <w:rsid w:val="006432CC"/>
    <w:rsid w:val="00644A95"/>
    <w:rsid w:val="00650A99"/>
    <w:rsid w:val="00652DA3"/>
    <w:rsid w:val="0065368E"/>
    <w:rsid w:val="00654211"/>
    <w:rsid w:val="00670D69"/>
    <w:rsid w:val="00672892"/>
    <w:rsid w:val="00672971"/>
    <w:rsid w:val="006756E8"/>
    <w:rsid w:val="0067758A"/>
    <w:rsid w:val="00682027"/>
    <w:rsid w:val="00687B70"/>
    <w:rsid w:val="00692975"/>
    <w:rsid w:val="006A5FCB"/>
    <w:rsid w:val="006B7638"/>
    <w:rsid w:val="006B765E"/>
    <w:rsid w:val="006B7F90"/>
    <w:rsid w:val="006C051C"/>
    <w:rsid w:val="006C76E5"/>
    <w:rsid w:val="006D20E4"/>
    <w:rsid w:val="006D2B4A"/>
    <w:rsid w:val="00700DB0"/>
    <w:rsid w:val="0070120A"/>
    <w:rsid w:val="007062D9"/>
    <w:rsid w:val="00706545"/>
    <w:rsid w:val="00707DE0"/>
    <w:rsid w:val="00715B59"/>
    <w:rsid w:val="00736007"/>
    <w:rsid w:val="00741A06"/>
    <w:rsid w:val="00745063"/>
    <w:rsid w:val="00747180"/>
    <w:rsid w:val="00754337"/>
    <w:rsid w:val="00764ABD"/>
    <w:rsid w:val="00770276"/>
    <w:rsid w:val="00770ADC"/>
    <w:rsid w:val="00771928"/>
    <w:rsid w:val="00773282"/>
    <w:rsid w:val="00784B5E"/>
    <w:rsid w:val="00796DDA"/>
    <w:rsid w:val="007B4882"/>
    <w:rsid w:val="007B70F7"/>
    <w:rsid w:val="007C4270"/>
    <w:rsid w:val="007D5C4B"/>
    <w:rsid w:val="007D6052"/>
    <w:rsid w:val="007F7C04"/>
    <w:rsid w:val="00800EEF"/>
    <w:rsid w:val="008036D7"/>
    <w:rsid w:val="0081311A"/>
    <w:rsid w:val="0081495F"/>
    <w:rsid w:val="00814D3D"/>
    <w:rsid w:val="00815D0B"/>
    <w:rsid w:val="00820529"/>
    <w:rsid w:val="00821EDD"/>
    <w:rsid w:val="00827082"/>
    <w:rsid w:val="00832014"/>
    <w:rsid w:val="008326D2"/>
    <w:rsid w:val="0083318E"/>
    <w:rsid w:val="00841203"/>
    <w:rsid w:val="00847EEE"/>
    <w:rsid w:val="00862966"/>
    <w:rsid w:val="00872CA8"/>
    <w:rsid w:val="008761A0"/>
    <w:rsid w:val="00897455"/>
    <w:rsid w:val="008A0D33"/>
    <w:rsid w:val="008A0D90"/>
    <w:rsid w:val="008A1B70"/>
    <w:rsid w:val="008A5D7F"/>
    <w:rsid w:val="008B0FFD"/>
    <w:rsid w:val="008D6CE6"/>
    <w:rsid w:val="008E2ADB"/>
    <w:rsid w:val="008E40B7"/>
    <w:rsid w:val="008E6775"/>
    <w:rsid w:val="008F6815"/>
    <w:rsid w:val="00901A5E"/>
    <w:rsid w:val="00903D77"/>
    <w:rsid w:val="009058D0"/>
    <w:rsid w:val="00906002"/>
    <w:rsid w:val="00907660"/>
    <w:rsid w:val="00914565"/>
    <w:rsid w:val="009209C9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57C10"/>
    <w:rsid w:val="009606B3"/>
    <w:rsid w:val="00966EAD"/>
    <w:rsid w:val="00974E10"/>
    <w:rsid w:val="0098778A"/>
    <w:rsid w:val="00990B51"/>
    <w:rsid w:val="00991F22"/>
    <w:rsid w:val="009961BF"/>
    <w:rsid w:val="009C0615"/>
    <w:rsid w:val="009D7ECE"/>
    <w:rsid w:val="009E01E8"/>
    <w:rsid w:val="009E3411"/>
    <w:rsid w:val="009F0EF0"/>
    <w:rsid w:val="009F3F48"/>
    <w:rsid w:val="00A03D09"/>
    <w:rsid w:val="00A04FA7"/>
    <w:rsid w:val="00A13B27"/>
    <w:rsid w:val="00A22045"/>
    <w:rsid w:val="00A32BD8"/>
    <w:rsid w:val="00A34FD5"/>
    <w:rsid w:val="00A43B37"/>
    <w:rsid w:val="00A44F64"/>
    <w:rsid w:val="00A47CA0"/>
    <w:rsid w:val="00A57CC2"/>
    <w:rsid w:val="00A642C7"/>
    <w:rsid w:val="00A65971"/>
    <w:rsid w:val="00A742F1"/>
    <w:rsid w:val="00A7456E"/>
    <w:rsid w:val="00A7495A"/>
    <w:rsid w:val="00A839F4"/>
    <w:rsid w:val="00A84657"/>
    <w:rsid w:val="00A846EB"/>
    <w:rsid w:val="00A85837"/>
    <w:rsid w:val="00A926CE"/>
    <w:rsid w:val="00A9371D"/>
    <w:rsid w:val="00AA22C9"/>
    <w:rsid w:val="00AA75DD"/>
    <w:rsid w:val="00AB37B1"/>
    <w:rsid w:val="00AB64E3"/>
    <w:rsid w:val="00AC1028"/>
    <w:rsid w:val="00AC2B0C"/>
    <w:rsid w:val="00AC6DD0"/>
    <w:rsid w:val="00AD4CE9"/>
    <w:rsid w:val="00AD56DB"/>
    <w:rsid w:val="00AE45E6"/>
    <w:rsid w:val="00AE7455"/>
    <w:rsid w:val="00AF71D3"/>
    <w:rsid w:val="00B0252C"/>
    <w:rsid w:val="00B11B9B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57255"/>
    <w:rsid w:val="00B63579"/>
    <w:rsid w:val="00B6483D"/>
    <w:rsid w:val="00B648B1"/>
    <w:rsid w:val="00B65897"/>
    <w:rsid w:val="00B66376"/>
    <w:rsid w:val="00B7024B"/>
    <w:rsid w:val="00B74E57"/>
    <w:rsid w:val="00B74F06"/>
    <w:rsid w:val="00B766AB"/>
    <w:rsid w:val="00B773B4"/>
    <w:rsid w:val="00B83BF2"/>
    <w:rsid w:val="00B8540B"/>
    <w:rsid w:val="00B97673"/>
    <w:rsid w:val="00BB2EB5"/>
    <w:rsid w:val="00BB3D88"/>
    <w:rsid w:val="00BC0768"/>
    <w:rsid w:val="00BC5D7D"/>
    <w:rsid w:val="00BD3082"/>
    <w:rsid w:val="00BE325A"/>
    <w:rsid w:val="00C0423C"/>
    <w:rsid w:val="00C06948"/>
    <w:rsid w:val="00C20CA8"/>
    <w:rsid w:val="00C26DAC"/>
    <w:rsid w:val="00C276A2"/>
    <w:rsid w:val="00C334D1"/>
    <w:rsid w:val="00C35423"/>
    <w:rsid w:val="00C35A0C"/>
    <w:rsid w:val="00C36BE7"/>
    <w:rsid w:val="00C404DC"/>
    <w:rsid w:val="00C43064"/>
    <w:rsid w:val="00C54464"/>
    <w:rsid w:val="00C54674"/>
    <w:rsid w:val="00C6199A"/>
    <w:rsid w:val="00C661A2"/>
    <w:rsid w:val="00C6685D"/>
    <w:rsid w:val="00C70370"/>
    <w:rsid w:val="00C772D1"/>
    <w:rsid w:val="00C81FC2"/>
    <w:rsid w:val="00C83948"/>
    <w:rsid w:val="00C86E28"/>
    <w:rsid w:val="00C923DD"/>
    <w:rsid w:val="00CA340D"/>
    <w:rsid w:val="00CB47E0"/>
    <w:rsid w:val="00CC0170"/>
    <w:rsid w:val="00CC38D6"/>
    <w:rsid w:val="00CC74DC"/>
    <w:rsid w:val="00CD5CCB"/>
    <w:rsid w:val="00CD648A"/>
    <w:rsid w:val="00CE3D10"/>
    <w:rsid w:val="00CE6524"/>
    <w:rsid w:val="00CF0493"/>
    <w:rsid w:val="00CF6745"/>
    <w:rsid w:val="00D26EF8"/>
    <w:rsid w:val="00D338CD"/>
    <w:rsid w:val="00D42439"/>
    <w:rsid w:val="00D57CB4"/>
    <w:rsid w:val="00D70440"/>
    <w:rsid w:val="00D70B05"/>
    <w:rsid w:val="00D718F8"/>
    <w:rsid w:val="00D71C09"/>
    <w:rsid w:val="00D774B6"/>
    <w:rsid w:val="00D81436"/>
    <w:rsid w:val="00D85DD3"/>
    <w:rsid w:val="00D9131A"/>
    <w:rsid w:val="00DA07E0"/>
    <w:rsid w:val="00DA1748"/>
    <w:rsid w:val="00DA50BA"/>
    <w:rsid w:val="00DA76D0"/>
    <w:rsid w:val="00DB2278"/>
    <w:rsid w:val="00DB2993"/>
    <w:rsid w:val="00DB5E63"/>
    <w:rsid w:val="00DB74E9"/>
    <w:rsid w:val="00DC4D50"/>
    <w:rsid w:val="00DD0981"/>
    <w:rsid w:val="00DD5CA9"/>
    <w:rsid w:val="00DE33F1"/>
    <w:rsid w:val="00DF4B34"/>
    <w:rsid w:val="00E00EAB"/>
    <w:rsid w:val="00E06024"/>
    <w:rsid w:val="00E16EF6"/>
    <w:rsid w:val="00E27185"/>
    <w:rsid w:val="00E35BA6"/>
    <w:rsid w:val="00E37DA4"/>
    <w:rsid w:val="00E438FA"/>
    <w:rsid w:val="00E44E11"/>
    <w:rsid w:val="00E562E9"/>
    <w:rsid w:val="00E745B9"/>
    <w:rsid w:val="00E77764"/>
    <w:rsid w:val="00E80CF1"/>
    <w:rsid w:val="00EC5776"/>
    <w:rsid w:val="00ED18CB"/>
    <w:rsid w:val="00F067EF"/>
    <w:rsid w:val="00F11CE8"/>
    <w:rsid w:val="00F152E9"/>
    <w:rsid w:val="00F161D1"/>
    <w:rsid w:val="00F30B3E"/>
    <w:rsid w:val="00F413A2"/>
    <w:rsid w:val="00F56475"/>
    <w:rsid w:val="00F57D5F"/>
    <w:rsid w:val="00F64422"/>
    <w:rsid w:val="00F74A4C"/>
    <w:rsid w:val="00F76BE7"/>
    <w:rsid w:val="00F92364"/>
    <w:rsid w:val="00FA4C6D"/>
    <w:rsid w:val="00FB1D70"/>
    <w:rsid w:val="00FC413F"/>
    <w:rsid w:val="00FD1869"/>
    <w:rsid w:val="00FD52EC"/>
    <w:rsid w:val="00FE438F"/>
    <w:rsid w:val="00FE5384"/>
    <w:rsid w:val="00FE754B"/>
    <w:rsid w:val="00FE7F9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B845B953-414D-449D-ADDD-CD4D73C1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Lida%20Fernanda\Desktop\informe%20fiscal%20y%20financiero\informe%20fiscal%20y%20financiero\Valle%20de%20San%20Juan\Cuadro%20Comparativo.xls" TargetMode="External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s-CO" sz="1400" b="1" i="0" u="none" strike="noStrike" baseline="0">
                <a:solidFill>
                  <a:srgbClr val="FFFFFF"/>
                </a:solidFill>
                <a:latin typeface="Calibri"/>
              </a:rPr>
              <a:t>Estado de Actividad Financiera, Economica, Social y Ambiental </a:t>
            </a:r>
            <a:r>
              <a:rPr lang="es-CO" sz="1400" b="0" i="0" u="none" strike="noStrike" baseline="0">
                <a:solidFill>
                  <a:srgbClr val="FFFFFF"/>
                </a:solidFill>
                <a:latin typeface="Calibri"/>
              </a:rPr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#,##0</c:formatCode>
                <c:ptCount val="2"/>
                <c:pt idx="0">
                  <c:v>3487777</c:v>
                </c:pt>
                <c:pt idx="1">
                  <c:v>2786243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Graficas!#¡REF!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8652752"/>
        <c:axId val="178666352"/>
        <c:axId val="177707168"/>
      </c:bar3DChart>
      <c:catAx>
        <c:axId val="178652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178666352"/>
        <c:crosses val="autoZero"/>
        <c:auto val="1"/>
        <c:lblAlgn val="ctr"/>
        <c:lblOffset val="100"/>
        <c:noMultiLvlLbl val="0"/>
      </c:catAx>
      <c:valAx>
        <c:axId val="178666352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178652752"/>
        <c:crosses val="autoZero"/>
        <c:crossBetween val="between"/>
      </c:valAx>
      <c:serAx>
        <c:axId val="177707168"/>
        <c:scaling>
          <c:orientation val="minMax"/>
        </c:scaling>
        <c:delete val="1"/>
        <c:axPos val="b"/>
        <c:majorTickMark val="out"/>
        <c:minorTickMark val="none"/>
        <c:tickLblPos val="nextTo"/>
        <c:crossAx val="178666352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sz="920" b="1" i="0" u="none" strike="noStrike" baseline="0">
              <a:solidFill>
                <a:srgbClr val="FFFFFF"/>
              </a:solidFill>
              <a:latin typeface="Calibri"/>
              <a:ea typeface="Calibri"/>
              <a:cs typeface="Calibri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7A8F-A085-4F59-BF53-736E80D0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10</Pages>
  <Words>2015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40</cp:revision>
  <cp:lastPrinted>2016-12-25T22:06:00Z</cp:lastPrinted>
  <dcterms:created xsi:type="dcterms:W3CDTF">2015-09-24T21:09:00Z</dcterms:created>
  <dcterms:modified xsi:type="dcterms:W3CDTF">2016-12-25T22:07:00Z</dcterms:modified>
</cp:coreProperties>
</file>