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AD4C67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AD4C67" w:rsidRPr="0067758A" w:rsidRDefault="00AD4C67" w:rsidP="00AD4C67">
      <w:pPr>
        <w:pStyle w:val="Prrafodelista"/>
        <w:rPr>
          <w:b/>
        </w:rPr>
      </w:pP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1360"/>
        <w:gridCol w:w="1400"/>
        <w:gridCol w:w="1380"/>
        <w:gridCol w:w="1360"/>
      </w:tblGrid>
      <w:tr w:rsidR="00B16516" w:rsidRPr="00B16516" w:rsidTr="00B16516">
        <w:trPr>
          <w:trHeight w:val="360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  <w:t>ALCADÍA MUNICIPAL DE CASABIANCA</w:t>
            </w:r>
          </w:p>
        </w:tc>
      </w:tr>
      <w:tr w:rsidR="00B16516" w:rsidRPr="00B16516" w:rsidTr="00B16516">
        <w:trPr>
          <w:trHeight w:val="255"/>
        </w:trPr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B16516" w:rsidRPr="00B16516" w:rsidTr="00B16516">
        <w:trPr>
          <w:trHeight w:val="27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06A6C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B16516" w:rsidRPr="00B16516" w:rsidTr="00B16516">
        <w:trPr>
          <w:trHeight w:val="525"/>
        </w:trPr>
        <w:tc>
          <w:tcPr>
            <w:tcW w:w="41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11,228,033.00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11,705,837.00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-477,804.00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-4.08%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681,881.00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890,296.00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-208,415.00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-23.41%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-368.00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681,881.00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889,928.00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-208,047.00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-23.38%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482,468.00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482,468.00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201,463.00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210,237.00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-8,774.00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-4.17%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32,225.00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-32,225.00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201,463.00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178,012.00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23,451.00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13.17%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566,069.00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769,550.00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-203,481.00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-26.44%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2,467,969.00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2,508,189.00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-40,220.00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-1.60%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293,382.00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208,970.00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84,412.00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40.39%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928,116.00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928,116.00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MAQUINARIA, PLANTA Y EQUIPO EN MONTAJE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25,721.00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25,721.00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EN TRÁNSITO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4,491.00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4,491.00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141,822.00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141,822.00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472,507.00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472,507.00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731,484.00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731,484.00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245,869.00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245,869.00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62,428.00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62,428.00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5,760.00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5,760.00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58,963.00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58,963.00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57,847.00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57,847.00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494,008.00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494,008.00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29,321.00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29,321.00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-1,083,750.00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-959,118.00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-124,632.00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12.99%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155,060.00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155,060.00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159,328.00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159,328.00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1,500.00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AMORTIZACIÓN ACUMULADA DE BIENES DE USO PÚBLICO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-5,768.00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-5,768.00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6,673,123.00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6,690,037.00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-16,914.00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-0.25%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6,647,406.00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6,647,406.00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12,670.00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-12,670.00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BIENES ENTREGADOS A TERCEROS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-12,670.00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12,670.00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46,169.00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46,169.00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-21,802.00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-21,802.00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667,344.00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745,526.00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-78,182.00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-10.49%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86,019.00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172,516.00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-86,497.00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-50.14%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20,045.00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158,664.00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-138,619.00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-87.37%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7,298.00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7,298.00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58,566.00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13,852.00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44,714.00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322.80%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50,685.00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42,383.00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8,302.00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19.59%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50,685.00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42,383.00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8,302.00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19.59%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529,337.00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529,337.00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529,337.00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529,337.00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1,303.00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1,290.00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1.01%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10,560,689.00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10,960,311.00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-399,622.00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-3.65%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10,560,689.00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10,960,311.00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-399,622.00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-3.65%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10,855,509.00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10,519,835.00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335,674.00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3.19%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-362,492.00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-362,492.00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B16516" w:rsidRPr="00B16516" w:rsidTr="00B16516">
        <w:trPr>
          <w:trHeight w:val="450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DE ENTIDADES EN PROCESOS ESPECIALES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635,499.00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-635,499.00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190,956.00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190,956.00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B16516" w:rsidRPr="00B16516" w:rsidTr="00B16516">
        <w:trPr>
          <w:trHeight w:val="46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-124,634.00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-387,329.00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262,695.00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-67.82%</w:t>
            </w:r>
          </w:p>
        </w:tc>
      </w:tr>
    </w:tbl>
    <w:p w:rsidR="0067758A" w:rsidRDefault="0067758A" w:rsidP="00F75875">
      <w:pPr>
        <w:spacing w:before="0" w:after="0"/>
      </w:pPr>
    </w:p>
    <w:p w:rsidR="00357680" w:rsidRDefault="00357680" w:rsidP="00F75875">
      <w:pPr>
        <w:spacing w:before="0" w:after="0"/>
        <w:jc w:val="both"/>
      </w:pPr>
      <w:r>
        <w:t>El municipio de Casabianca, en su Balance General terminado en la fecha 31 de diciembre de 2015, refleja una reducción en sus activos del 4.08%, es decir la suma de $477.804 miles, el Pasivo disminuyo el 10.49% la suma de $78.182 miles y el Patrimonio el -3</w:t>
      </w:r>
      <w:r w:rsidR="00930DD2">
        <w:t>.65% un valor de $399.622, comparado con los resultados presentados en el año 2014.</w:t>
      </w:r>
    </w:p>
    <w:p w:rsidR="00357680" w:rsidRDefault="00357680" w:rsidP="00F75875">
      <w:pPr>
        <w:spacing w:before="0" w:after="0"/>
        <w:jc w:val="both"/>
      </w:pPr>
    </w:p>
    <w:p w:rsidR="00357680" w:rsidRDefault="00357680" w:rsidP="00F75875">
      <w:pPr>
        <w:spacing w:before="0" w:after="0"/>
        <w:jc w:val="both"/>
      </w:pPr>
      <w:r>
        <w:t>Dentro de los Activos se destaca por su valor en la disminución la cuenta Deudores con el 26.44%, la suma de $203.481 miles</w:t>
      </w:r>
      <w:r w:rsidR="00930DD2">
        <w:t>, al pasar de un saldo en el 2014 de $769.550  miles, a un saldo en el  2015 de 566.069; la cuenta Depósitos en Instituciones Financieras también refleja una reducción de $208.047 miles equivalente al 23.38%, seguido en su orden por las Rentas Por Cobrar con una reducción del 100%, sin embargo en términos reales que equivale a la suma de $32.225 es menor a la presentada por las cuentas enunciadas anteriormente.</w:t>
      </w:r>
    </w:p>
    <w:p w:rsidR="00F4369C" w:rsidRDefault="00F4369C" w:rsidP="00F75875">
      <w:pPr>
        <w:spacing w:before="0" w:after="0"/>
        <w:jc w:val="both"/>
      </w:pPr>
    </w:p>
    <w:p w:rsidR="00F4369C" w:rsidRDefault="00F4369C" w:rsidP="00F75875">
      <w:pPr>
        <w:spacing w:before="0" w:after="0"/>
        <w:jc w:val="both"/>
      </w:pPr>
      <w:r>
        <w:t xml:space="preserve">Finalmente, la cuenta de Propiedad Planta y Equipo registra una leve disminución del 1.60% ocasionada por el incremento en la Depreciación, ya que las demás cuentas que conforman este grupo no registraron variación. </w:t>
      </w:r>
    </w:p>
    <w:p w:rsidR="00F4369C" w:rsidRDefault="00F4369C" w:rsidP="00F75875">
      <w:pPr>
        <w:spacing w:before="0" w:after="0"/>
        <w:jc w:val="both"/>
      </w:pPr>
    </w:p>
    <w:p w:rsidR="00F4369C" w:rsidRDefault="00F4369C" w:rsidP="00F75875">
      <w:pPr>
        <w:spacing w:before="0" w:after="0"/>
        <w:jc w:val="both"/>
      </w:pPr>
      <w:r>
        <w:t xml:space="preserve">De otra parte, la cuenta de Pasivos también tuvo una </w:t>
      </w:r>
      <w:r w:rsidR="00DE2580">
        <w:t>disminución del 10.49% que en términos reales equivale a la suma de $78.182 miles, la reducción en este grupo de c</w:t>
      </w:r>
      <w:r w:rsidR="00693E7F">
        <w:t>uentas obedece principalmente a la baja en su saldo reflejada por las Cuentas Por Pagar la cual ascendió al 50.14%.</w:t>
      </w:r>
    </w:p>
    <w:p w:rsidR="00693E7F" w:rsidRDefault="00693E7F" w:rsidP="00F75875">
      <w:pPr>
        <w:spacing w:before="0" w:after="0"/>
        <w:jc w:val="both"/>
      </w:pPr>
    </w:p>
    <w:p w:rsidR="00693E7F" w:rsidRDefault="00693E7F" w:rsidP="00F75875">
      <w:pPr>
        <w:spacing w:before="0" w:after="0"/>
        <w:jc w:val="both"/>
      </w:pPr>
      <w:r>
        <w:t>Las demás cuentas como las Obligaciones Laborales</w:t>
      </w:r>
      <w:r w:rsidR="00DD519C">
        <w:t xml:space="preserve"> y los otros Pasivos, nos muestran un incremento del 19.59% y 1.01% respectivamente, comparado con las cifras de la vigencia 2014.</w:t>
      </w:r>
    </w:p>
    <w:p w:rsidR="007A1891" w:rsidRDefault="007A1891" w:rsidP="00F75875">
      <w:pPr>
        <w:spacing w:before="0" w:after="0"/>
        <w:jc w:val="both"/>
      </w:pPr>
    </w:p>
    <w:p w:rsidR="007A1891" w:rsidRDefault="007A1891" w:rsidP="00F75875">
      <w:pPr>
        <w:spacing w:before="0" w:after="0"/>
        <w:jc w:val="both"/>
      </w:pPr>
      <w:r>
        <w:t>Finalmente, el grupo del Patrimonio registra una disminución del 3.65%, ocasionada principalmente por la cuenta Resultados del Ejercicio la cual refleja un Déficit por la suma de $399.622 miles, ya que de un resultado cero en el 2014, paso a la cifra enunciada en el 2015.</w:t>
      </w:r>
    </w:p>
    <w:p w:rsidR="00930DD2" w:rsidRDefault="00930DD2" w:rsidP="00F75875">
      <w:pPr>
        <w:spacing w:before="0" w:after="0"/>
        <w:jc w:val="both"/>
      </w:pPr>
    </w:p>
    <w:p w:rsidR="006128C0" w:rsidRDefault="00B16516" w:rsidP="0067758A">
      <w:r>
        <w:rPr>
          <w:noProof/>
        </w:rPr>
        <w:lastRenderedPageBreak/>
        <w:drawing>
          <wp:inline distT="0" distB="0" distL="0" distR="0" wp14:anchorId="129C19A9">
            <wp:extent cx="5457824" cy="2590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07" cy="2592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410" w:rsidRDefault="00EA5410" w:rsidP="000A5F72">
      <w:pPr>
        <w:spacing w:before="0" w:after="0"/>
      </w:pPr>
    </w:p>
    <w:p w:rsidR="00B06A6C" w:rsidRPr="00B06A6C" w:rsidRDefault="00B06A6C" w:rsidP="00BC5D7D">
      <w:pPr>
        <w:pStyle w:val="Prrafodelista"/>
        <w:numPr>
          <w:ilvl w:val="0"/>
          <w:numId w:val="50"/>
        </w:numPr>
        <w:rPr>
          <w:b/>
        </w:rPr>
      </w:pPr>
      <w:r>
        <w:rPr>
          <w:rFonts w:ascii="Tahoma" w:hAnsi="Tahoma" w:cs="Tahoma"/>
          <w:b/>
        </w:rPr>
        <w:t>E</w:t>
      </w:r>
      <w:r w:rsidR="00BC5D7D" w:rsidRPr="00BC5D7D">
        <w:rPr>
          <w:rFonts w:ascii="Tahoma" w:hAnsi="Tahoma" w:cs="Tahoma"/>
          <w:b/>
        </w:rPr>
        <w:t>STADO DE ACTIVIDAD FINANCIERA, ECONÓMICA</w:t>
      </w:r>
      <w:r w:rsidR="006128C0">
        <w:rPr>
          <w:rFonts w:ascii="Tahoma" w:hAnsi="Tahoma" w:cs="Tahoma"/>
          <w:b/>
        </w:rPr>
        <w:t xml:space="preserve"> Y </w:t>
      </w:r>
      <w:r w:rsidR="00BC5D7D" w:rsidRPr="00BC5D7D">
        <w:rPr>
          <w:rFonts w:ascii="Tahoma" w:hAnsi="Tahoma" w:cs="Tahoma"/>
          <w:b/>
        </w:rPr>
        <w:t xml:space="preserve"> SOCIAL</w:t>
      </w:r>
    </w:p>
    <w:p w:rsidR="00BC5D7D" w:rsidRPr="00BC5D7D" w:rsidRDefault="00BC5D7D" w:rsidP="00575F87">
      <w:pPr>
        <w:pStyle w:val="Prrafodelista"/>
        <w:rPr>
          <w:b/>
        </w:rPr>
      </w:pPr>
      <w:r w:rsidRPr="00BC5D7D">
        <w:rPr>
          <w:rFonts w:ascii="Tahoma" w:hAnsi="Tahoma" w:cs="Tahoma"/>
          <w:b/>
        </w:rPr>
        <w:t xml:space="preserve"> </w:t>
      </w:r>
    </w:p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360"/>
        <w:gridCol w:w="1360"/>
        <w:gridCol w:w="1420"/>
        <w:gridCol w:w="1400"/>
      </w:tblGrid>
      <w:tr w:rsidR="00B16516" w:rsidRPr="00B06A6C" w:rsidTr="00B16516">
        <w:trPr>
          <w:trHeight w:val="36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06A6C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B06A6C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ALCADÍA MUNICIPAL DE CASABIANCA</w:t>
            </w:r>
          </w:p>
        </w:tc>
      </w:tr>
      <w:tr w:rsidR="00B16516" w:rsidRPr="00B16516" w:rsidTr="00B16516">
        <w:trPr>
          <w:trHeight w:val="300"/>
        </w:trPr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 Comparativo 2015 - 2014</w:t>
            </w:r>
          </w:p>
        </w:tc>
      </w:tr>
      <w:tr w:rsidR="00B16516" w:rsidRPr="00B16516" w:rsidTr="00B16516">
        <w:trPr>
          <w:trHeight w:val="27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516" w:rsidRPr="00B16516" w:rsidRDefault="00B06A6C" w:rsidP="00B16516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B16516" w:rsidRPr="00B16516" w:rsidTr="00B16516">
        <w:trPr>
          <w:trHeight w:val="525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B1651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10,085,216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8,226,873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1,858,343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22.59%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701,145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513,450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187,695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36.56%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248,453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236,922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11,531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4.87%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452,692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276,528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176,164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63.71%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-9,588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-22.89%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41,888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-9,588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-22.89%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9,325,712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7,659,652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1,666,060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21.75%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3,904,877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4,499,237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-594,360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-13.21%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1,228,610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1,137,429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91,181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8.02%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304,724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292,275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12,449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4.26%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1,906,748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1,498,432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408,316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27.25%</w:t>
            </w:r>
          </w:p>
        </w:tc>
      </w:tr>
      <w:tr w:rsidR="00B16516" w:rsidRPr="00B16516" w:rsidTr="00B16516">
        <w:trPr>
          <w:trHeight w:val="67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PENSIONES - FONDO NACIONAL DE PENSIONES DE LAS ENTIDADES TERRITORIALES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1,188,634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-1,188,634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PROGRAMAS DE ALIMENTACIÓN ESCOLAR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25,037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12.86%</w:t>
            </w:r>
          </w:p>
        </w:tc>
      </w:tr>
      <w:tr w:rsidR="00B16516" w:rsidRPr="00B16516" w:rsidTr="00B16516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413,295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360,283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53,012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14.71%</w:t>
            </w:r>
          </w:p>
        </w:tc>
      </w:tr>
      <w:tr w:rsidR="00B16516" w:rsidRPr="00B16516" w:rsidTr="00B16516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26,463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310,353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411,371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-101,018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-24.56%</w:t>
            </w:r>
          </w:p>
        </w:tc>
      </w:tr>
      <w:tr w:rsidR="00B16516" w:rsidRPr="00B16516" w:rsidTr="00B16516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1,921,171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1,864,775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56,396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3.02%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3,189,311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884,269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2,305,042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260.67%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26,059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11,883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14,176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119.30%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26,059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11,883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14,176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119.30%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10,437,429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7,579,842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2,857,587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37.70%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986,495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847,860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138,635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16.35%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635,403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451,192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184,211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40.83%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267,211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-176,520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-66.06%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72,005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63,935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8,070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12.62%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12,808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11.74%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104,290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52,714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51,576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97.84%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69,794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69,794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-61,240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-61,240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180,305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16,119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8.94%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180,305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16,119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8.94%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9,240,390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6,482,496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2,757,894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42.54%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2,489,376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515,665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1,973,711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382.75%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2,884,004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3,136,000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-251,996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-8.04%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386,397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485,843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-99,446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-20.47%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1,273,749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1,200,537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1639.81%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116,769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149,921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-33,152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-22.11%</w:t>
            </w:r>
          </w:p>
        </w:tc>
      </w:tr>
      <w:tr w:rsidR="00B16516" w:rsidRPr="00B16516" w:rsidTr="00B16516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2,090,095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1,964,411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125,684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6.40%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6,179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77.81%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6,179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77.81%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COSTOS DE VENTAS Y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-10.87%</w:t>
            </w:r>
          </w:p>
        </w:tc>
      </w:tr>
      <w:tr w:rsidR="00B16516" w:rsidRPr="00B16516" w:rsidTr="00B16516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-10.87%</w:t>
            </w:r>
          </w:p>
        </w:tc>
      </w:tr>
      <w:tr w:rsidR="00B16516" w:rsidRPr="00B16516" w:rsidTr="00B16516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516" w:rsidRPr="00B16516" w:rsidRDefault="00B16516" w:rsidP="00B16516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B16516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-10.87%</w:t>
            </w:r>
          </w:p>
        </w:tc>
      </w:tr>
    </w:tbl>
    <w:p w:rsidR="00BC5D7D" w:rsidRDefault="00BC5D7D" w:rsidP="00814D3D">
      <w:pPr>
        <w:spacing w:before="0" w:after="0"/>
      </w:pPr>
    </w:p>
    <w:p w:rsidR="00AD4C67" w:rsidRDefault="00AD4C67" w:rsidP="00814D3D">
      <w:pPr>
        <w:spacing w:before="0" w:after="0"/>
      </w:pPr>
    </w:p>
    <w:p w:rsidR="00AD4C67" w:rsidRDefault="00137E5C" w:rsidP="00137E5C">
      <w:pPr>
        <w:spacing w:before="0" w:after="0"/>
        <w:jc w:val="both"/>
      </w:pPr>
      <w:r>
        <w:t xml:space="preserve">En su Estado de Actividad Financiera terminado a 31 de diciembre de 2015, la Administración Municipal de Casabianca refleja un aumento en los Ingresos del 22.59%, la suma de $1.858.343 más que lo registrado en el 2014, igual situación sucede con los </w:t>
      </w:r>
      <w:r>
        <w:lastRenderedPageBreak/>
        <w:t>Gastos los cuales incrementaron su valor en el 37.70% y los Costos de Ventas y Operación por el contrario registraron una disminución del 10.87%.</w:t>
      </w:r>
    </w:p>
    <w:p w:rsidR="00137E5C" w:rsidRDefault="00137E5C" w:rsidP="00137E5C">
      <w:pPr>
        <w:spacing w:before="0" w:after="0"/>
        <w:jc w:val="both"/>
      </w:pPr>
    </w:p>
    <w:p w:rsidR="00137E5C" w:rsidRDefault="00137E5C" w:rsidP="00137E5C">
      <w:pPr>
        <w:spacing w:before="0" w:after="0"/>
        <w:jc w:val="both"/>
      </w:pPr>
      <w:r>
        <w:t xml:space="preserve">El crecimiento en los ingresos, reflejado en el estado de actividad, fue jalonado principalmente por la cuenta Transferencias, más exactamente por la subcuenta Otras Transferencias que registra un incremento del 260.67% es decir la suma de $2.305.042 miles, </w:t>
      </w:r>
      <w:r w:rsidR="00D12C06">
        <w:t>más</w:t>
      </w:r>
      <w:r>
        <w:t xml:space="preserve"> que lo </w:t>
      </w:r>
      <w:r w:rsidR="007E069B">
        <w:t>registrado en el 2014.</w:t>
      </w:r>
    </w:p>
    <w:p w:rsidR="007E069B" w:rsidRDefault="007E069B" w:rsidP="00137E5C">
      <w:pPr>
        <w:spacing w:before="0" w:after="0"/>
        <w:jc w:val="both"/>
      </w:pPr>
    </w:p>
    <w:p w:rsidR="007E069B" w:rsidRDefault="007E069B" w:rsidP="00137E5C">
      <w:pPr>
        <w:spacing w:before="0" w:after="0"/>
        <w:jc w:val="both"/>
      </w:pPr>
      <w:r>
        <w:t>Las demás cuentas como los Ingresos Tributarios reflejan un aumento de tan solo el 4.87%, los No Tributarios el 63.71% y los Otros Ingresos el 119.30%.</w:t>
      </w:r>
    </w:p>
    <w:p w:rsidR="007E069B" w:rsidRDefault="007E069B" w:rsidP="00137E5C">
      <w:pPr>
        <w:spacing w:before="0" w:after="0"/>
        <w:jc w:val="both"/>
      </w:pPr>
    </w:p>
    <w:p w:rsidR="007E069B" w:rsidRDefault="007E069B" w:rsidP="00137E5C">
      <w:pPr>
        <w:spacing w:before="0" w:after="0"/>
        <w:jc w:val="both"/>
      </w:pPr>
      <w:r>
        <w:t>Finalmente, las cuentas que reflejan lo recibido por Transferencias del Sistema General de Participaciones nos muestran una disminución del 13.21%, incidida principalmente por la disminución del 100%, de la Participación para Pensiones – Fopep que para la vigencia 2015 no registra ningún valor.</w:t>
      </w:r>
    </w:p>
    <w:p w:rsidR="00D12C06" w:rsidRDefault="00D12C06" w:rsidP="00137E5C">
      <w:pPr>
        <w:spacing w:before="0" w:after="0"/>
        <w:jc w:val="both"/>
      </w:pPr>
      <w:r>
        <w:t xml:space="preserve">Los Gastos por su parte, registran un incremento del 37.70%, es decir la suma de $2.857.587 miles, con respecto a la vigencia 2014; </w:t>
      </w:r>
      <w:r w:rsidR="00391EEA">
        <w:t>de las subcuentas que componen el este grupo, los Gastos de Administración, los Gastos por Transferencias, el Gasto Público Social y los Otros Gastos, nos muestran un crecimiento del 16.35%, 8.94%, 42.54% y el 77.81%, respectivamente, comparado con lo registrado en la vigencia 2014.</w:t>
      </w:r>
    </w:p>
    <w:p w:rsidR="00391EEA" w:rsidRDefault="00391EEA" w:rsidP="00137E5C">
      <w:pPr>
        <w:spacing w:before="0" w:after="0"/>
        <w:jc w:val="both"/>
      </w:pPr>
    </w:p>
    <w:p w:rsidR="00391EEA" w:rsidRDefault="00391EEA" w:rsidP="00137E5C">
      <w:pPr>
        <w:spacing w:before="0" w:after="0"/>
        <w:jc w:val="both"/>
      </w:pPr>
      <w:r>
        <w:t>Dentro de los gastos de administración los gastos generales con un 97.84%, refleja el mayor crecimiento</w:t>
      </w:r>
      <w:r w:rsidR="00143B0D">
        <w:t>.</w:t>
      </w:r>
    </w:p>
    <w:p w:rsidR="00143B0D" w:rsidRDefault="00143B0D" w:rsidP="00137E5C">
      <w:pPr>
        <w:spacing w:before="0" w:after="0"/>
        <w:jc w:val="both"/>
      </w:pPr>
    </w:p>
    <w:p w:rsidR="00143B0D" w:rsidRDefault="00143B0D" w:rsidP="00137E5C">
      <w:pPr>
        <w:spacing w:before="0" w:after="0"/>
        <w:jc w:val="both"/>
      </w:pPr>
      <w:r>
        <w:t>Ahora la inversión social, reflejada en las cifras de la cuenta Gasto Público Social, presento el siguiente comportamiento de acuerdo al cuadro de análisis horizontal:</w:t>
      </w:r>
    </w:p>
    <w:p w:rsidR="00143B0D" w:rsidRDefault="00143B0D" w:rsidP="00137E5C">
      <w:pPr>
        <w:spacing w:before="0" w:after="0"/>
        <w:jc w:val="both"/>
      </w:pPr>
    </w:p>
    <w:p w:rsidR="00143B0D" w:rsidRDefault="00143B0D" w:rsidP="00137E5C">
      <w:pPr>
        <w:spacing w:before="0" w:after="0"/>
        <w:jc w:val="both"/>
      </w:pPr>
      <w:r>
        <w:t>Los recursos invertidos en Educación crecieron para la vigencia 2015 en la suma de $1.973.711 miles, es decir un 382.75% con respecto a lo invertido en el 2014; para el Sector Salud la Inversión se redujo un 8.04%, para Agua Potable y Saneamiento Básico disminuyo el 20.47%, para el sector Recreación y Deporte se incrementó  en la suma de $1.200.537 miles, un porcentaje del 1639.81%.</w:t>
      </w:r>
    </w:p>
    <w:p w:rsidR="00143B0D" w:rsidRDefault="00143B0D" w:rsidP="00137E5C">
      <w:pPr>
        <w:spacing w:before="0" w:after="0"/>
        <w:jc w:val="both"/>
      </w:pPr>
    </w:p>
    <w:p w:rsidR="00143B0D" w:rsidRDefault="00143B0D" w:rsidP="00137E5C">
      <w:pPr>
        <w:spacing w:before="0" w:after="0"/>
        <w:jc w:val="both"/>
      </w:pPr>
      <w:r>
        <w:t xml:space="preserve">Finalmente, los Costos de Venta y Operación en la prestación de los servicios públicos de acueducto, alcantarillado y aseo se disminuyeron el 10.87%, con respecto a la vigencia 2014. </w:t>
      </w: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B16516" w:rsidP="004C1BE4">
      <w:pPr>
        <w:pStyle w:val="Prrafodelista"/>
        <w:spacing w:before="0" w:after="0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lastRenderedPageBreak/>
        <w:drawing>
          <wp:inline distT="0" distB="0" distL="0" distR="0" wp14:anchorId="46890089">
            <wp:extent cx="5067300" cy="3222932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812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6516" w:rsidRDefault="00B16516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B06A6C" w:rsidRDefault="00B06A6C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4C1BE4" w:rsidRDefault="004C1BE4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143B0D">
        <w:rPr>
          <w:rFonts w:ascii="Tahoma" w:hAnsi="Tahoma" w:cs="Tahoma"/>
        </w:rPr>
        <w:t>681.881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4C1BE4">
        <w:rPr>
          <w:rFonts w:ascii="Tahoma" w:hAnsi="Tahoma" w:cs="Tahoma"/>
        </w:rPr>
        <w:t xml:space="preserve"> </w:t>
      </w:r>
      <w:r w:rsidR="00143B0D">
        <w:rPr>
          <w:rFonts w:ascii="Tahoma" w:hAnsi="Tahoma" w:cs="Tahoma"/>
        </w:rPr>
        <w:t>201.463</w:t>
      </w:r>
    </w:p>
    <w:p w:rsidR="001666F5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 w:rsidR="004C1BE4">
        <w:rPr>
          <w:rFonts w:ascii="Tahoma" w:hAnsi="Tahoma" w:cs="Tahoma"/>
        </w:rPr>
        <w:t xml:space="preserve"> </w:t>
      </w:r>
      <w:r w:rsidR="00143B0D">
        <w:rPr>
          <w:rFonts w:ascii="Tahoma" w:hAnsi="Tahoma" w:cs="Tahoma"/>
        </w:rPr>
        <w:t>566.069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="007912A5">
        <w:t xml:space="preserve">  </w:t>
      </w:r>
      <w:r w:rsidRPr="00895504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1.449.413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lastRenderedPageBreak/>
        <w:t>Pasivo Corriente: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 </w:t>
      </w:r>
      <w:r w:rsidR="00895504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86.019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</w:t>
      </w:r>
      <w:r w:rsidR="007912A5">
        <w:rPr>
          <w:rFonts w:ascii="Tahoma" w:hAnsi="Tahoma" w:cs="Tahoma"/>
        </w:rPr>
        <w:t xml:space="preserve"> </w:t>
      </w:r>
      <w:r w:rsidR="001556A2">
        <w:rPr>
          <w:rFonts w:ascii="Tahoma" w:hAnsi="Tahoma" w:cs="Tahoma"/>
        </w:rPr>
        <w:t>50.685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136.704</w:t>
      </w:r>
    </w:p>
    <w:p w:rsidR="001666F5" w:rsidRDefault="001666F5" w:rsidP="004C1BE4">
      <w:pPr>
        <w:spacing w:before="0" w:after="0"/>
      </w:pPr>
    </w:p>
    <w:p w:rsidR="001666F5" w:rsidRPr="00C57BA5" w:rsidRDefault="001666F5" w:rsidP="004C1BE4">
      <w:pPr>
        <w:spacing w:before="0" w:after="0"/>
        <w:rPr>
          <w:rFonts w:ascii="Tahoma" w:hAnsi="Tahoma" w:cs="Tahoma"/>
        </w:rPr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1.449.413</w:t>
      </w:r>
      <w:r w:rsidRPr="00895504">
        <w:rPr>
          <w:rFonts w:ascii="Tahoma" w:hAnsi="Tahoma" w:cs="Tahoma"/>
        </w:rPr>
        <w:t xml:space="preserve"> /  $</w:t>
      </w:r>
      <w:r w:rsidR="001556A2">
        <w:rPr>
          <w:rFonts w:ascii="Tahoma" w:hAnsi="Tahoma" w:cs="Tahoma"/>
        </w:rPr>
        <w:t xml:space="preserve">136.704 </w:t>
      </w:r>
      <w:r w:rsidR="00C57BA5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C57BA5">
        <w:rPr>
          <w:rFonts w:ascii="Tahoma" w:hAnsi="Tahoma" w:cs="Tahoma"/>
        </w:rPr>
        <w:t>10.</w:t>
      </w:r>
      <w:r w:rsidR="001556A2">
        <w:rPr>
          <w:rFonts w:ascii="Tahoma" w:hAnsi="Tahoma" w:cs="Tahoma"/>
        </w:rPr>
        <w:t>66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1556A2">
        <w:t>Casabianca</w:t>
      </w:r>
      <w:r>
        <w:t xml:space="preserve"> debe a corto plazo, cuenta con </w:t>
      </w:r>
      <w:r w:rsidR="00C57BA5">
        <w:t>10</w:t>
      </w:r>
      <w:r w:rsidR="00A44BFD">
        <w:t>.</w:t>
      </w:r>
      <w:r w:rsidR="001556A2">
        <w:t>60</w:t>
      </w:r>
      <w:r>
        <w:t xml:space="preserve"> pesos en activos corriente para cubrirlos, lo que signifi</w:t>
      </w:r>
      <w:r w:rsidR="00895504">
        <w:t>ca que el mencionado municipio 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A7456E" w:rsidRPr="00260E0D" w:rsidRDefault="00C57BA5" w:rsidP="004C1BE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1.449.413</w:t>
      </w:r>
      <w:r w:rsidR="001556A2" w:rsidRPr="00895504">
        <w:rPr>
          <w:rFonts w:ascii="Tahoma" w:hAnsi="Tahoma" w:cs="Tahoma"/>
        </w:rPr>
        <w:t xml:space="preserve"> </w:t>
      </w:r>
      <w:r w:rsidR="001556A2">
        <w:rPr>
          <w:rFonts w:ascii="Tahoma" w:hAnsi="Tahoma" w:cs="Tahoma"/>
        </w:rPr>
        <w:t>-</w:t>
      </w:r>
      <w:r w:rsidR="001556A2" w:rsidRPr="00895504">
        <w:rPr>
          <w:rFonts w:ascii="Tahoma" w:hAnsi="Tahoma" w:cs="Tahoma"/>
        </w:rPr>
        <w:t xml:space="preserve"> $</w:t>
      </w:r>
      <w:r w:rsidR="001556A2">
        <w:rPr>
          <w:rFonts w:ascii="Tahoma" w:hAnsi="Tahoma" w:cs="Tahoma"/>
        </w:rPr>
        <w:t>136.704</w:t>
      </w:r>
      <w:r>
        <w:rPr>
          <w:rFonts w:ascii="Tahoma" w:hAnsi="Tahoma" w:cs="Tahoma"/>
        </w:rPr>
        <w:t xml:space="preserve"> 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1.31</w:t>
      </w:r>
      <w:r w:rsidR="00575F87">
        <w:rPr>
          <w:rFonts w:ascii="Tahoma" w:hAnsi="Tahoma" w:cs="Tahoma"/>
        </w:rPr>
        <w:t>2</w:t>
      </w:r>
      <w:r w:rsidR="001556A2">
        <w:rPr>
          <w:rFonts w:ascii="Tahoma" w:hAnsi="Tahoma" w:cs="Tahoma"/>
        </w:rPr>
        <w:t>.709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A44BFD">
        <w:t xml:space="preserve">tiene </w:t>
      </w:r>
      <w:r w:rsidR="00C57BA5">
        <w:t>suficientes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1.450.716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11.228.033</w:t>
      </w:r>
      <w:r w:rsidRPr="00260E0D">
        <w:rPr>
          <w:rFonts w:ascii="Tahoma" w:hAnsi="Tahoma" w:cs="Tahoma"/>
        </w:rPr>
        <w:t xml:space="preserve"> =</w:t>
      </w:r>
      <w:r w:rsidR="001556A2">
        <w:rPr>
          <w:rFonts w:ascii="Tahoma" w:hAnsi="Tahoma" w:cs="Tahoma"/>
        </w:rPr>
        <w:t xml:space="preserve"> 12.92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1556A2">
        <w:t>12.92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lastRenderedPageBreak/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10.560.689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1556A2">
        <w:rPr>
          <w:rFonts w:ascii="Tahoma" w:hAnsi="Tahoma" w:cs="Tahoma"/>
        </w:rPr>
        <w:t>11.228.033</w:t>
      </w:r>
      <w:r w:rsidR="00581103">
        <w:rPr>
          <w:rFonts w:ascii="Tahoma" w:hAnsi="Tahoma" w:cs="Tahoma"/>
        </w:rPr>
        <w:t xml:space="preserve"> </w:t>
      </w:r>
      <w:r w:rsidRPr="00260E0D">
        <w:rPr>
          <w:rFonts w:ascii="Tahoma" w:hAnsi="Tahoma" w:cs="Tahoma"/>
        </w:rPr>
        <w:t xml:space="preserve">= </w:t>
      </w:r>
      <w:r w:rsidR="001556A2">
        <w:rPr>
          <w:rFonts w:ascii="Tahoma" w:hAnsi="Tahoma" w:cs="Tahoma"/>
        </w:rPr>
        <w:t>94.05</w:t>
      </w:r>
      <w:r w:rsidR="00581103">
        <w:rPr>
          <w:rFonts w:ascii="Tahoma" w:hAnsi="Tahoma" w:cs="Tahoma"/>
        </w:rPr>
        <w:t>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1556A2">
        <w:rPr>
          <w:rFonts w:ascii="Tahoma" w:hAnsi="Tahoma" w:cs="Tahoma"/>
        </w:rPr>
        <w:t>94.05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1556A2">
        <w:rPr>
          <w:rFonts w:ascii="Tahoma" w:hAnsi="Tahoma" w:cs="Tahoma"/>
        </w:rPr>
        <w:t>Casabianca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1556A2">
        <w:rPr>
          <w:rFonts w:ascii="Tahoma" w:hAnsi="Tahoma" w:cs="Tahoma"/>
        </w:rPr>
        <w:t>disminuyeron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1556A2">
        <w:rPr>
          <w:rFonts w:ascii="Tahoma" w:hAnsi="Tahoma" w:cs="Tahoma"/>
        </w:rPr>
        <w:t>4.08</w:t>
      </w:r>
      <w:r w:rsidRPr="00AC6F1B">
        <w:rPr>
          <w:rFonts w:ascii="Tahoma" w:hAnsi="Tahoma" w:cs="Tahoma"/>
        </w:rPr>
        <w:t>% la suma de $</w:t>
      </w:r>
      <w:r w:rsidR="001556A2">
        <w:rPr>
          <w:rFonts w:ascii="Tahoma" w:hAnsi="Tahoma" w:cs="Tahoma"/>
        </w:rPr>
        <w:t>477.804</w:t>
      </w:r>
      <w:r w:rsidRPr="00AC6F1B">
        <w:rPr>
          <w:rFonts w:ascii="Tahoma" w:hAnsi="Tahoma" w:cs="Tahoma"/>
        </w:rPr>
        <w:t xml:space="preserve"> mi</w:t>
      </w:r>
      <w:r w:rsidR="00160574">
        <w:rPr>
          <w:rFonts w:ascii="Tahoma" w:hAnsi="Tahoma" w:cs="Tahoma"/>
        </w:rPr>
        <w:t>l</w:t>
      </w:r>
      <w:r w:rsidRPr="00AC6F1B">
        <w:rPr>
          <w:rFonts w:ascii="Tahoma" w:hAnsi="Tahoma" w:cs="Tahoma"/>
        </w:rPr>
        <w:t>es,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 xml:space="preserve">, reflejados en las cuentas </w:t>
      </w:r>
      <w:r w:rsidR="001556A2">
        <w:rPr>
          <w:rFonts w:ascii="Tahoma" w:hAnsi="Tahoma" w:cs="Tahoma"/>
        </w:rPr>
        <w:t xml:space="preserve">Depósitos en Instituciones Financieras, </w:t>
      </w:r>
      <w:r w:rsidR="004C3E6F">
        <w:rPr>
          <w:rFonts w:ascii="Tahoma" w:hAnsi="Tahoma" w:cs="Tahoma"/>
        </w:rPr>
        <w:t>Rentas Por Cobrar,</w:t>
      </w:r>
      <w:r w:rsidR="00AC6F1B">
        <w:rPr>
          <w:rFonts w:ascii="Tahoma" w:hAnsi="Tahoma" w:cs="Tahoma"/>
        </w:rPr>
        <w:t xml:space="preserve"> </w:t>
      </w:r>
      <w:r w:rsidR="00924723">
        <w:rPr>
          <w:rFonts w:ascii="Tahoma" w:hAnsi="Tahoma" w:cs="Tahoma"/>
        </w:rPr>
        <w:t>Deudores</w:t>
      </w:r>
      <w:r w:rsidR="004C3E6F">
        <w:rPr>
          <w:rFonts w:ascii="Tahoma" w:hAnsi="Tahoma" w:cs="Tahoma"/>
        </w:rPr>
        <w:t xml:space="preserve"> y Propiedad Planta y Equipo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patrimonio </w:t>
      </w:r>
      <w:r w:rsidR="001556A2">
        <w:rPr>
          <w:rFonts w:ascii="Tahoma" w:hAnsi="Tahoma" w:cs="Tahoma"/>
        </w:rPr>
        <w:t>también disminuyó</w:t>
      </w:r>
      <w:r w:rsidRPr="00AC6F1B">
        <w:rPr>
          <w:rFonts w:ascii="Tahoma" w:hAnsi="Tahoma" w:cs="Tahoma"/>
        </w:rPr>
        <w:t xml:space="preserve"> un </w:t>
      </w:r>
      <w:r w:rsidR="001556A2">
        <w:rPr>
          <w:rFonts w:ascii="Tahoma" w:hAnsi="Tahoma" w:cs="Tahoma"/>
        </w:rPr>
        <w:t>3.65</w:t>
      </w:r>
      <w:r w:rsidRPr="00AC6F1B">
        <w:rPr>
          <w:rFonts w:ascii="Tahoma" w:hAnsi="Tahoma" w:cs="Tahoma"/>
        </w:rPr>
        <w:t xml:space="preserve">%, </w:t>
      </w:r>
      <w:r w:rsidR="001556A2">
        <w:rPr>
          <w:rFonts w:ascii="Tahoma" w:hAnsi="Tahoma" w:cs="Tahoma"/>
        </w:rPr>
        <w:t>incidido directamente</w:t>
      </w:r>
      <w:r w:rsidRPr="00AC6F1B">
        <w:rPr>
          <w:rFonts w:ascii="Tahoma" w:hAnsi="Tahoma" w:cs="Tahoma"/>
        </w:rPr>
        <w:t xml:space="preserve"> por la cuenta Resultados del Ejercicio</w:t>
      </w:r>
      <w:r w:rsidR="000D2062" w:rsidRPr="00AC6F1B">
        <w:rPr>
          <w:rFonts w:ascii="Tahoma" w:hAnsi="Tahoma" w:cs="Tahoma"/>
        </w:rPr>
        <w:t xml:space="preserve"> que presenta un </w:t>
      </w:r>
      <w:r w:rsidR="001556A2">
        <w:rPr>
          <w:rFonts w:ascii="Tahoma" w:hAnsi="Tahoma" w:cs="Tahoma"/>
        </w:rPr>
        <w:t>déficit</w:t>
      </w:r>
      <w:r w:rsidR="000D2062" w:rsidRPr="00AC6F1B">
        <w:rPr>
          <w:rFonts w:ascii="Tahoma" w:hAnsi="Tahoma" w:cs="Tahoma"/>
        </w:rPr>
        <w:t xml:space="preserve"> por la suma de $</w:t>
      </w:r>
      <w:r w:rsidR="00100513">
        <w:rPr>
          <w:rFonts w:ascii="Tahoma" w:hAnsi="Tahoma" w:cs="Tahoma"/>
        </w:rPr>
        <w:t>362.492</w:t>
      </w:r>
      <w:r w:rsidR="00924723">
        <w:rPr>
          <w:rFonts w:ascii="Tahoma" w:hAnsi="Tahoma" w:cs="Tahoma"/>
        </w:rPr>
        <w:t xml:space="preserve"> miles.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>Su estructura financiera al cierre del periodo contable 201</w:t>
      </w:r>
      <w:r w:rsidR="0050682F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100513">
        <w:rPr>
          <w:rFonts w:ascii="Tahoma" w:hAnsi="Tahoma" w:cs="Tahoma"/>
        </w:rPr>
        <w:t>4</w:t>
      </w:r>
      <w:r w:rsidR="00160574">
        <w:rPr>
          <w:rFonts w:ascii="Tahoma" w:hAnsi="Tahoma" w:cs="Tahoma"/>
        </w:rPr>
        <w:t>.</w:t>
      </w:r>
      <w:r w:rsidR="00100513">
        <w:rPr>
          <w:rFonts w:ascii="Tahoma" w:hAnsi="Tahoma" w:cs="Tahoma"/>
        </w:rPr>
        <w:t>95</w:t>
      </w:r>
      <w:r w:rsidRPr="00AC6F1B">
        <w:rPr>
          <w:rFonts w:ascii="Tahoma" w:hAnsi="Tahoma" w:cs="Tahoma"/>
        </w:rPr>
        <w:t xml:space="preserve">% los pasivos y el </w:t>
      </w:r>
      <w:r w:rsidR="00100513">
        <w:rPr>
          <w:rFonts w:ascii="Tahoma" w:hAnsi="Tahoma" w:cs="Tahoma"/>
        </w:rPr>
        <w:t>94.05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100513">
        <w:rPr>
          <w:rFonts w:ascii="Tahoma" w:hAnsi="Tahoma" w:cs="Tahoma"/>
        </w:rPr>
        <w:t>12.92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 xml:space="preserve">podemos concluir que el municipio del </w:t>
      </w:r>
      <w:r w:rsidR="00100513">
        <w:rPr>
          <w:rFonts w:ascii="Tahoma" w:hAnsi="Tahoma" w:cs="Tahoma"/>
        </w:rPr>
        <w:t>Casabianca</w:t>
      </w:r>
      <w:r w:rsidR="00160574">
        <w:rPr>
          <w:rFonts w:ascii="Tahoma" w:hAnsi="Tahoma" w:cs="Tahoma"/>
        </w:rPr>
        <w:t xml:space="preserve"> </w:t>
      </w:r>
      <w:r w:rsidR="00C83948" w:rsidRPr="00AC6F1B">
        <w:rPr>
          <w:rFonts w:ascii="Tahoma" w:hAnsi="Tahoma" w:cs="Tahoma"/>
        </w:rPr>
        <w:t>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160574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CC0F10">
        <w:rPr>
          <w:rFonts w:ascii="Tahoma" w:hAnsi="Tahoma" w:cs="Tahoma"/>
        </w:rPr>
        <w:t>favorable</w:t>
      </w:r>
      <w:r w:rsidR="00100513">
        <w:rPr>
          <w:rFonts w:ascii="Tahoma" w:hAnsi="Tahoma" w:cs="Tahoma"/>
        </w:rPr>
        <w:t>, no obstante registrar una disminución tanto en sus activos como en su patrimonio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84" w:rsidRDefault="00204F84" w:rsidP="00650A99">
      <w:r>
        <w:separator/>
      </w:r>
    </w:p>
  </w:endnote>
  <w:endnote w:type="continuationSeparator" w:id="0">
    <w:p w:rsidR="00204F84" w:rsidRDefault="00204F84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680" w:rsidRPr="00070555" w:rsidRDefault="00357680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680" w:rsidRPr="003205FF" w:rsidRDefault="00357680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D82B50" w:rsidRPr="00D82B5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5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D82B50">
                            <w:fldChar w:fldCharType="begin"/>
                          </w:r>
                          <w:r w:rsidR="00D82B50">
                            <w:instrText>NUMPAGES  \* Arabic  \* MERGEFORMAT</w:instrText>
                          </w:r>
                          <w:r w:rsidR="00D82B50">
                            <w:fldChar w:fldCharType="separate"/>
                          </w:r>
                          <w:r w:rsidR="00D82B50" w:rsidRPr="00D82B5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="00D82B5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357680" w:rsidRPr="003205FF" w:rsidRDefault="00357680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D82B50" w:rsidRPr="00D82B5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5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D82B50">
                      <w:fldChar w:fldCharType="begin"/>
                    </w:r>
                    <w:r w:rsidR="00D82B50">
                      <w:instrText>NUMPAGES  \* Arabic  \* MERGEFORMAT</w:instrText>
                    </w:r>
                    <w:r w:rsidR="00D82B50">
                      <w:fldChar w:fldCharType="separate"/>
                    </w:r>
                    <w:r w:rsidR="00D82B50" w:rsidRPr="00D82B5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="00D82B5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680" w:rsidRDefault="0035768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357680" w:rsidRDefault="00357680"/>
                </w:txbxContent>
              </v:textbox>
            </v:shape>
          </w:pict>
        </mc:Fallback>
      </mc:AlternateContent>
    </w:r>
  </w:p>
  <w:p w:rsidR="00357680" w:rsidRPr="00070555" w:rsidRDefault="00357680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680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57680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357680" w:rsidRPr="00BB3D88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57680" w:rsidRPr="003205FF" w:rsidRDefault="00D82B5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57680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357680" w:rsidRPr="000352F0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357680" w:rsidRPr="00BB3D88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357680" w:rsidRPr="00A926CE" w:rsidRDefault="00357680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57680" w:rsidRDefault="0035768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57680" w:rsidRDefault="0035768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357680" w:rsidRPr="00BB3D88" w:rsidRDefault="00357680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57680" w:rsidRPr="003205FF" w:rsidRDefault="00D82B5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57680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357680" w:rsidRPr="000352F0" w:rsidRDefault="0035768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357680" w:rsidRPr="00BB3D88" w:rsidRDefault="0035768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357680" w:rsidRPr="00A926CE" w:rsidRDefault="00357680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84" w:rsidRDefault="00204F84" w:rsidP="00650A99">
      <w:r>
        <w:separator/>
      </w:r>
    </w:p>
  </w:footnote>
  <w:footnote w:type="continuationSeparator" w:id="0">
    <w:p w:rsidR="00204F84" w:rsidRDefault="00204F84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680" w:rsidRDefault="00A631BB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31BB" w:rsidRDefault="00A631B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5E92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0513"/>
    <w:rsid w:val="001077DC"/>
    <w:rsid w:val="00124F58"/>
    <w:rsid w:val="001266B2"/>
    <w:rsid w:val="001301DF"/>
    <w:rsid w:val="00131E4E"/>
    <w:rsid w:val="00132C47"/>
    <w:rsid w:val="0013431C"/>
    <w:rsid w:val="001361E3"/>
    <w:rsid w:val="00137E5C"/>
    <w:rsid w:val="0014091C"/>
    <w:rsid w:val="00143B0D"/>
    <w:rsid w:val="00147C2C"/>
    <w:rsid w:val="001531E5"/>
    <w:rsid w:val="00154430"/>
    <w:rsid w:val="001556A2"/>
    <w:rsid w:val="00160574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04F84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305B2"/>
    <w:rsid w:val="00332DE4"/>
    <w:rsid w:val="00341B3E"/>
    <w:rsid w:val="00344233"/>
    <w:rsid w:val="00351487"/>
    <w:rsid w:val="00356B3F"/>
    <w:rsid w:val="0035735A"/>
    <w:rsid w:val="00357680"/>
    <w:rsid w:val="00367CB1"/>
    <w:rsid w:val="00372F40"/>
    <w:rsid w:val="00375CC7"/>
    <w:rsid w:val="003910B8"/>
    <w:rsid w:val="0039183D"/>
    <w:rsid w:val="00391C14"/>
    <w:rsid w:val="00391EEA"/>
    <w:rsid w:val="00396181"/>
    <w:rsid w:val="00397766"/>
    <w:rsid w:val="003A5822"/>
    <w:rsid w:val="003B11DD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C3E6F"/>
    <w:rsid w:val="004E17F3"/>
    <w:rsid w:val="004E3F57"/>
    <w:rsid w:val="004E585C"/>
    <w:rsid w:val="004F2F93"/>
    <w:rsid w:val="004F4C50"/>
    <w:rsid w:val="004F79EE"/>
    <w:rsid w:val="00506345"/>
    <w:rsid w:val="0050682F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7283F"/>
    <w:rsid w:val="00575F87"/>
    <w:rsid w:val="00581103"/>
    <w:rsid w:val="00585BCF"/>
    <w:rsid w:val="00585ED0"/>
    <w:rsid w:val="00590A7E"/>
    <w:rsid w:val="005916D2"/>
    <w:rsid w:val="00595ED2"/>
    <w:rsid w:val="005A74EC"/>
    <w:rsid w:val="005B3622"/>
    <w:rsid w:val="005B6F12"/>
    <w:rsid w:val="005C3743"/>
    <w:rsid w:val="005E1DE9"/>
    <w:rsid w:val="005E5E78"/>
    <w:rsid w:val="005F356A"/>
    <w:rsid w:val="00603AAD"/>
    <w:rsid w:val="006068E9"/>
    <w:rsid w:val="006074FF"/>
    <w:rsid w:val="006128C0"/>
    <w:rsid w:val="00617A76"/>
    <w:rsid w:val="00617E98"/>
    <w:rsid w:val="00617F6E"/>
    <w:rsid w:val="00630301"/>
    <w:rsid w:val="0063777F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93E7F"/>
    <w:rsid w:val="006A44BD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87E63"/>
    <w:rsid w:val="007912A5"/>
    <w:rsid w:val="00796DDA"/>
    <w:rsid w:val="007A1891"/>
    <w:rsid w:val="007B4882"/>
    <w:rsid w:val="007B70F7"/>
    <w:rsid w:val="007C4270"/>
    <w:rsid w:val="007E069B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428C1"/>
    <w:rsid w:val="00872CA8"/>
    <w:rsid w:val="008761A0"/>
    <w:rsid w:val="00895504"/>
    <w:rsid w:val="00897455"/>
    <w:rsid w:val="008A0D33"/>
    <w:rsid w:val="008A142D"/>
    <w:rsid w:val="008A5D7F"/>
    <w:rsid w:val="008A7833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0DD2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B6800"/>
    <w:rsid w:val="009C0615"/>
    <w:rsid w:val="009D7ECE"/>
    <w:rsid w:val="009E27EC"/>
    <w:rsid w:val="009E358A"/>
    <w:rsid w:val="009F3F48"/>
    <w:rsid w:val="00A04FA7"/>
    <w:rsid w:val="00A1087C"/>
    <w:rsid w:val="00A32BD8"/>
    <w:rsid w:val="00A34FD5"/>
    <w:rsid w:val="00A43B37"/>
    <w:rsid w:val="00A44BFD"/>
    <w:rsid w:val="00A44F64"/>
    <w:rsid w:val="00A47CA0"/>
    <w:rsid w:val="00A55479"/>
    <w:rsid w:val="00A57CC2"/>
    <w:rsid w:val="00A631BB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B5D48"/>
    <w:rsid w:val="00AC2B0C"/>
    <w:rsid w:val="00AC6DD0"/>
    <w:rsid w:val="00AC6F1B"/>
    <w:rsid w:val="00AD4C67"/>
    <w:rsid w:val="00AD56DB"/>
    <w:rsid w:val="00AE45E6"/>
    <w:rsid w:val="00AF71D3"/>
    <w:rsid w:val="00B06A6C"/>
    <w:rsid w:val="00B11E2E"/>
    <w:rsid w:val="00B16516"/>
    <w:rsid w:val="00B179EC"/>
    <w:rsid w:val="00B17D06"/>
    <w:rsid w:val="00B229DE"/>
    <w:rsid w:val="00B235FD"/>
    <w:rsid w:val="00B25248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5197"/>
    <w:rsid w:val="00C00E4A"/>
    <w:rsid w:val="00C0423C"/>
    <w:rsid w:val="00C06948"/>
    <w:rsid w:val="00C1024D"/>
    <w:rsid w:val="00C12C83"/>
    <w:rsid w:val="00C20CA8"/>
    <w:rsid w:val="00C276A2"/>
    <w:rsid w:val="00C334D1"/>
    <w:rsid w:val="00C35423"/>
    <w:rsid w:val="00C36BE7"/>
    <w:rsid w:val="00C404DC"/>
    <w:rsid w:val="00C43064"/>
    <w:rsid w:val="00C54674"/>
    <w:rsid w:val="00C57BA5"/>
    <w:rsid w:val="00C6685D"/>
    <w:rsid w:val="00C70370"/>
    <w:rsid w:val="00C81FC2"/>
    <w:rsid w:val="00C83948"/>
    <w:rsid w:val="00C900CB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12C06"/>
    <w:rsid w:val="00D22B8F"/>
    <w:rsid w:val="00D42439"/>
    <w:rsid w:val="00D718F8"/>
    <w:rsid w:val="00D71C09"/>
    <w:rsid w:val="00D774B6"/>
    <w:rsid w:val="00D81436"/>
    <w:rsid w:val="00D82B50"/>
    <w:rsid w:val="00DA07E0"/>
    <w:rsid w:val="00DA76D0"/>
    <w:rsid w:val="00DB2278"/>
    <w:rsid w:val="00DD0981"/>
    <w:rsid w:val="00DD519C"/>
    <w:rsid w:val="00DD5CA9"/>
    <w:rsid w:val="00DE2580"/>
    <w:rsid w:val="00E00EAB"/>
    <w:rsid w:val="00E05219"/>
    <w:rsid w:val="00E06024"/>
    <w:rsid w:val="00E22BA0"/>
    <w:rsid w:val="00E37DA4"/>
    <w:rsid w:val="00E438FA"/>
    <w:rsid w:val="00E44E11"/>
    <w:rsid w:val="00E45380"/>
    <w:rsid w:val="00E562E9"/>
    <w:rsid w:val="00E745B9"/>
    <w:rsid w:val="00E80CF1"/>
    <w:rsid w:val="00EA5410"/>
    <w:rsid w:val="00EB3EFF"/>
    <w:rsid w:val="00ED18CB"/>
    <w:rsid w:val="00F067EF"/>
    <w:rsid w:val="00F11CE8"/>
    <w:rsid w:val="00F152E9"/>
    <w:rsid w:val="00F20911"/>
    <w:rsid w:val="00F413A2"/>
    <w:rsid w:val="00F4369C"/>
    <w:rsid w:val="00F56A4B"/>
    <w:rsid w:val="00F57D5F"/>
    <w:rsid w:val="00F64422"/>
    <w:rsid w:val="00F74102"/>
    <w:rsid w:val="00F74A4C"/>
    <w:rsid w:val="00F75875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E703C287-5990-428E-9D70-5B7AE2A7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2159</Words>
  <Characters>11875</Characters>
  <Application>Microsoft Office Word</Application>
  <DocSecurity>0</DocSecurity>
  <Lines>98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15</cp:revision>
  <cp:lastPrinted>2016-12-25T21:46:00Z</cp:lastPrinted>
  <dcterms:created xsi:type="dcterms:W3CDTF">2016-10-19T20:02:00Z</dcterms:created>
  <dcterms:modified xsi:type="dcterms:W3CDTF">2016-12-25T21:47:00Z</dcterms:modified>
</cp:coreProperties>
</file>