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6FA" w:rsidRPr="00AD4CE9" w:rsidRDefault="000E46FA" w:rsidP="00AD4CE9">
      <w:pPr>
        <w:spacing w:before="0" w:after="0" w:line="228" w:lineRule="auto"/>
        <w:rPr>
          <w:rFonts w:ascii="Tahoma" w:hAnsi="Tahoma" w:cs="Tahoma"/>
        </w:rPr>
      </w:pPr>
    </w:p>
    <w:p w:rsidR="0067758A" w:rsidRDefault="0067758A" w:rsidP="00AD4CE9">
      <w:pPr>
        <w:pStyle w:val="Prrafodelista"/>
        <w:numPr>
          <w:ilvl w:val="0"/>
          <w:numId w:val="50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 xml:space="preserve">BALANCE GENERAL COMPARATIVO </w:t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DE2C2F" w:rsidP="00AD4CE9">
      <w:pPr>
        <w:spacing w:before="0" w:after="0" w:line="228" w:lineRule="auto"/>
        <w:rPr>
          <w:rFonts w:ascii="Tahoma" w:hAnsi="Tahoma" w:cs="Tahoma"/>
          <w:noProof/>
        </w:rPr>
      </w:pPr>
      <w:r w:rsidRPr="00DE2C2F">
        <w:rPr>
          <w:noProof/>
        </w:rPr>
        <w:drawing>
          <wp:inline distT="0" distB="0" distL="0" distR="0" wp14:anchorId="596F5A74" wp14:editId="1FEDF061">
            <wp:extent cx="5613188" cy="5829300"/>
            <wp:effectExtent l="0" t="0" r="698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69" cy="5830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DE2C2F" w:rsidRDefault="00DE2C2F" w:rsidP="00AD4CE9">
      <w:pPr>
        <w:spacing w:before="0" w:after="0" w:line="228" w:lineRule="auto"/>
        <w:rPr>
          <w:noProof/>
        </w:rPr>
      </w:pPr>
    </w:p>
    <w:p w:rsidR="00DE2C2F" w:rsidRDefault="00DE2C2F" w:rsidP="00AD4CE9">
      <w:pPr>
        <w:spacing w:before="0" w:after="0" w:line="228" w:lineRule="auto"/>
        <w:rPr>
          <w:noProof/>
        </w:rPr>
      </w:pPr>
    </w:p>
    <w:p w:rsidR="00DE2C2F" w:rsidRDefault="00DE2C2F" w:rsidP="00AD4CE9">
      <w:pPr>
        <w:spacing w:before="0" w:after="0" w:line="228" w:lineRule="auto"/>
        <w:rPr>
          <w:noProof/>
        </w:rPr>
      </w:pPr>
      <w:r>
        <w:rPr>
          <w:noProof/>
        </w:rPr>
        <w:drawing>
          <wp:inline distT="0" distB="0" distL="0" distR="0" wp14:anchorId="6E9527ED">
            <wp:extent cx="4397072" cy="2496709"/>
            <wp:effectExtent l="0" t="0" r="381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630" cy="24992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3A0F" w:rsidRDefault="00603A0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DE2C2F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 Fábrica de Licores del Tolima,  </w:t>
      </w:r>
      <w:r w:rsidR="00EC577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Según Balance General </w:t>
      </w:r>
      <w:r w:rsidR="00EC5776">
        <w:rPr>
          <w:rFonts w:ascii="Tahoma" w:hAnsi="Tahoma" w:cs="Tahoma"/>
        </w:rPr>
        <w:t xml:space="preserve"> Consolidado a 31 de diciembre de 2015 registra u</w:t>
      </w:r>
      <w:r>
        <w:rPr>
          <w:rFonts w:ascii="Tahoma" w:hAnsi="Tahoma" w:cs="Tahoma"/>
        </w:rPr>
        <w:t>n total de activos de $34.193,3</w:t>
      </w:r>
      <w:r w:rsidR="00EC5776">
        <w:rPr>
          <w:rFonts w:ascii="Tahoma" w:hAnsi="Tahoma" w:cs="Tahoma"/>
        </w:rPr>
        <w:t xml:space="preserve"> millones que comparado con el saldo alcanzado</w:t>
      </w:r>
      <w:r>
        <w:rPr>
          <w:rFonts w:ascii="Tahoma" w:hAnsi="Tahoma" w:cs="Tahoma"/>
        </w:rPr>
        <w:t xml:space="preserve"> en la vigencia 2014 ($33.726,2</w:t>
      </w:r>
      <w:r w:rsidR="00EC5776">
        <w:rPr>
          <w:rFonts w:ascii="Tahoma" w:hAnsi="Tahoma" w:cs="Tahoma"/>
        </w:rPr>
        <w:t xml:space="preserve"> millones)</w:t>
      </w:r>
      <w:r>
        <w:rPr>
          <w:rFonts w:ascii="Tahoma" w:hAnsi="Tahoma" w:cs="Tahoma"/>
        </w:rPr>
        <w:t xml:space="preserve"> refleja un incremento del 1.38</w:t>
      </w:r>
      <w:r w:rsidR="00EC5776">
        <w:rPr>
          <w:rFonts w:ascii="Tahoma" w:hAnsi="Tahoma" w:cs="Tahoma"/>
        </w:rPr>
        <w:t>%.</w:t>
      </w:r>
    </w:p>
    <w:p w:rsidR="00DE2C2F" w:rsidRDefault="00DE2C2F" w:rsidP="00DE2C2F">
      <w:pPr>
        <w:spacing w:before="0" w:after="0" w:line="228" w:lineRule="auto"/>
        <w:jc w:val="both"/>
        <w:rPr>
          <w:rFonts w:ascii="Tahoma" w:hAnsi="Tahoma" w:cs="Tahoma"/>
        </w:rPr>
      </w:pPr>
    </w:p>
    <w:p w:rsidR="008E6515" w:rsidRDefault="00DE2C2F" w:rsidP="00DE2C2F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“Efectivo” presentó entre las vigencias 2014 y 2015 un</w:t>
      </w:r>
      <w:r w:rsidR="008E6515">
        <w:rPr>
          <w:rFonts w:ascii="Tahoma" w:hAnsi="Tahoma" w:cs="Tahoma"/>
        </w:rPr>
        <w:t xml:space="preserve">a disminución </w:t>
      </w:r>
      <w:r>
        <w:rPr>
          <w:rFonts w:ascii="Tahoma" w:hAnsi="Tahoma" w:cs="Tahoma"/>
        </w:rPr>
        <w:t xml:space="preserve">en su saldo </w:t>
      </w:r>
      <w:r w:rsidR="008E6515">
        <w:rPr>
          <w:rFonts w:ascii="Tahoma" w:hAnsi="Tahoma" w:cs="Tahoma"/>
        </w:rPr>
        <w:t>de $1.367,6</w:t>
      </w:r>
      <w:r>
        <w:rPr>
          <w:rFonts w:ascii="Tahoma" w:hAnsi="Tahoma" w:cs="Tahoma"/>
        </w:rPr>
        <w:t xml:space="preserve"> millones</w:t>
      </w:r>
      <w:r w:rsidR="008E6515">
        <w:rPr>
          <w:rFonts w:ascii="Tahoma" w:hAnsi="Tahoma" w:cs="Tahoma"/>
        </w:rPr>
        <w:t>, representados en un 46.79</w:t>
      </w:r>
      <w:r>
        <w:rPr>
          <w:rFonts w:ascii="Tahoma" w:hAnsi="Tahoma" w:cs="Tahoma"/>
        </w:rPr>
        <w:t>%</w:t>
      </w:r>
      <w:r w:rsidR="008E6515">
        <w:rPr>
          <w:rFonts w:ascii="Tahoma" w:hAnsi="Tahoma" w:cs="Tahoma"/>
        </w:rPr>
        <w:t>, finalizando de esta forma la vigencia 2015 con un saldo de $1.555,2.  Dentro de este grupo el 99.87</w:t>
      </w:r>
      <w:r>
        <w:rPr>
          <w:rFonts w:ascii="Tahoma" w:hAnsi="Tahoma" w:cs="Tahoma"/>
        </w:rPr>
        <w:t>% se encuentran c</w:t>
      </w:r>
      <w:r w:rsidR="008E6515">
        <w:rPr>
          <w:rFonts w:ascii="Tahoma" w:hAnsi="Tahoma" w:cs="Tahoma"/>
        </w:rPr>
        <w:t xml:space="preserve">onsignados en cuentas de ahorro, mientras que el 0.12% en </w:t>
      </w:r>
      <w:r>
        <w:rPr>
          <w:rFonts w:ascii="Tahoma" w:hAnsi="Tahoma" w:cs="Tahoma"/>
        </w:rPr>
        <w:t xml:space="preserve">cuentas de ahorro.  </w:t>
      </w:r>
    </w:p>
    <w:p w:rsidR="00FC6743" w:rsidRDefault="00FC6743" w:rsidP="00DE2C2F">
      <w:pPr>
        <w:spacing w:before="0" w:after="0" w:line="228" w:lineRule="auto"/>
        <w:jc w:val="both"/>
        <w:rPr>
          <w:rFonts w:ascii="Tahoma" w:hAnsi="Tahoma" w:cs="Tahoma"/>
        </w:rPr>
      </w:pPr>
    </w:p>
    <w:p w:rsidR="00FC6743" w:rsidRDefault="00FC6743" w:rsidP="00DE2C2F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 la fecha de cierre de la anualidad 2015, la cuantificación de las Inversiones alcanzó la suma de $4.113,1 millones, saldo que permaneció constante entre las vigencias 2014 y 2015.</w:t>
      </w:r>
    </w:p>
    <w:p w:rsidR="00FC6743" w:rsidRDefault="00FC6743" w:rsidP="00DE2C2F">
      <w:pPr>
        <w:spacing w:before="0" w:after="0" w:line="228" w:lineRule="auto"/>
        <w:jc w:val="both"/>
        <w:rPr>
          <w:rFonts w:ascii="Tahoma" w:hAnsi="Tahoma" w:cs="Tahoma"/>
        </w:rPr>
      </w:pPr>
    </w:p>
    <w:p w:rsidR="00DE2C2F" w:rsidRDefault="00DE2C2F" w:rsidP="00DE2C2F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 </w:t>
      </w:r>
      <w:r w:rsidR="0097554F">
        <w:rPr>
          <w:rFonts w:ascii="Tahoma" w:hAnsi="Tahoma" w:cs="Tahoma"/>
        </w:rPr>
        <w:t>cuenta “Deudores</w:t>
      </w:r>
      <w:r>
        <w:rPr>
          <w:rFonts w:ascii="Tahoma" w:hAnsi="Tahoma" w:cs="Tahoma"/>
        </w:rPr>
        <w:t>” presenta una disminu</w:t>
      </w:r>
      <w:r w:rsidR="0097554F">
        <w:rPr>
          <w:rFonts w:ascii="Tahoma" w:hAnsi="Tahoma" w:cs="Tahoma"/>
        </w:rPr>
        <w:t>ción porcentual  del 2014 al 2015 de $405,6</w:t>
      </w:r>
      <w:r>
        <w:rPr>
          <w:rFonts w:ascii="Tahoma" w:hAnsi="Tahoma" w:cs="Tahoma"/>
        </w:rPr>
        <w:t xml:space="preserve"> mi</w:t>
      </w:r>
      <w:r w:rsidR="0097554F">
        <w:rPr>
          <w:rFonts w:ascii="Tahoma" w:hAnsi="Tahoma" w:cs="Tahoma"/>
        </w:rPr>
        <w:t>llones representados en el 29</w:t>
      </w:r>
      <w:r>
        <w:rPr>
          <w:rFonts w:ascii="Tahoma" w:hAnsi="Tahoma" w:cs="Tahoma"/>
        </w:rPr>
        <w:t>%, finalizando de esta forma la vige</w:t>
      </w:r>
      <w:r w:rsidR="0097554F">
        <w:rPr>
          <w:rFonts w:ascii="Tahoma" w:hAnsi="Tahoma" w:cs="Tahoma"/>
        </w:rPr>
        <w:t>ncia 2015 con un saldo de $993,2 millones, con una participación del 2,9% sobre el Activo Total.</w:t>
      </w:r>
    </w:p>
    <w:p w:rsidR="0097554F" w:rsidRDefault="0097554F" w:rsidP="00DE2C2F">
      <w:pPr>
        <w:spacing w:before="0" w:after="0" w:line="228" w:lineRule="auto"/>
        <w:jc w:val="both"/>
        <w:rPr>
          <w:rFonts w:ascii="Tahoma" w:hAnsi="Tahoma" w:cs="Tahoma"/>
        </w:rPr>
      </w:pPr>
    </w:p>
    <w:p w:rsidR="0097554F" w:rsidRDefault="0097554F" w:rsidP="00DE2C2F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 las sub cuentas que conforman los “Deudores” se observa un comportamiento de disminución de saldos que oscilan entre el 24.47% y 50.32% entre las vigencias 2014 y 2015, teniendo en esta última (2015)  la mayor participación la cuenta “Venta de Bienes”, cuyo saldo finalizó en $882,4 millones, es decir $285,8 millones menos que el saldo del 2014 cuantificado en $1.168,2 millones.</w:t>
      </w:r>
    </w:p>
    <w:p w:rsidR="008F3AAB" w:rsidRDefault="008F3AAB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F3AAB" w:rsidRDefault="0097554F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La entidad </w:t>
      </w:r>
      <w:r w:rsidR="008F3AAB">
        <w:rPr>
          <w:rFonts w:ascii="Tahoma" w:hAnsi="Tahoma" w:cs="Tahoma"/>
        </w:rPr>
        <w:t xml:space="preserve"> reg</w:t>
      </w:r>
      <w:r w:rsidR="00756241">
        <w:rPr>
          <w:rFonts w:ascii="Tahoma" w:hAnsi="Tahoma" w:cs="Tahoma"/>
        </w:rPr>
        <w:t>istró  a 31 de diciembre de 2015</w:t>
      </w:r>
      <w:r w:rsidR="008F3AAB">
        <w:rPr>
          <w:rFonts w:ascii="Tahoma" w:hAnsi="Tahoma" w:cs="Tahoma"/>
        </w:rPr>
        <w:t>, en la cuent</w:t>
      </w:r>
      <w:r w:rsidR="00756241">
        <w:rPr>
          <w:rFonts w:ascii="Tahoma" w:hAnsi="Tahoma" w:cs="Tahoma"/>
        </w:rPr>
        <w:t>a de Inventarios la suma de $914,5</w:t>
      </w:r>
      <w:r w:rsidR="008F3AAB">
        <w:rPr>
          <w:rFonts w:ascii="Tahoma" w:hAnsi="Tahoma" w:cs="Tahoma"/>
        </w:rPr>
        <w:t xml:space="preserve"> millones, pre</w:t>
      </w:r>
      <w:r w:rsidR="00756241">
        <w:rPr>
          <w:rFonts w:ascii="Tahoma" w:hAnsi="Tahoma" w:cs="Tahoma"/>
        </w:rPr>
        <w:t xml:space="preserve">sentando una disminución del 4.83% frente a lo registrado en el 2014, en cuya anualidad se cuantificó en $960,9 millones. </w:t>
      </w: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A4F01" w:rsidRDefault="005A4F01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de mayor representatividad dentro del grupo del Activo corresponde a “Otros Activos, cuenta que al finalizar la anualidad 2015, regis</w:t>
      </w:r>
      <w:r w:rsidR="008F3AAB">
        <w:rPr>
          <w:rFonts w:ascii="Tahoma" w:hAnsi="Tahoma" w:cs="Tahoma"/>
        </w:rPr>
        <w:t xml:space="preserve">tró </w:t>
      </w:r>
      <w:r w:rsidR="00756241">
        <w:rPr>
          <w:rFonts w:ascii="Tahoma" w:hAnsi="Tahoma" w:cs="Tahoma"/>
        </w:rPr>
        <w:t xml:space="preserve"> en su saldo la suma de $15.567,5</w:t>
      </w:r>
      <w:r>
        <w:rPr>
          <w:rFonts w:ascii="Tahoma" w:hAnsi="Tahoma" w:cs="Tahoma"/>
        </w:rPr>
        <w:t xml:space="preserve"> millones, con </w:t>
      </w:r>
      <w:r w:rsidR="00756241">
        <w:rPr>
          <w:rFonts w:ascii="Tahoma" w:hAnsi="Tahoma" w:cs="Tahoma"/>
        </w:rPr>
        <w:t>una disminución en el saldo de 0.62% ($96,7 millones) al pasar de $15.664,2 millones (2014) a $15.567,5</w:t>
      </w:r>
      <w:r>
        <w:rPr>
          <w:rFonts w:ascii="Tahoma" w:hAnsi="Tahoma" w:cs="Tahoma"/>
        </w:rPr>
        <w:t xml:space="preserve"> millones en el (2015).</w:t>
      </w: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5A4F01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Las cuentas de Propiedad, Planta </w:t>
      </w:r>
      <w:r w:rsidR="008F3AA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obtuvieron un</w:t>
      </w:r>
      <w:r w:rsidR="00756241">
        <w:rPr>
          <w:rFonts w:ascii="Tahoma" w:hAnsi="Tahoma" w:cs="Tahoma"/>
        </w:rPr>
        <w:t xml:space="preserve"> incremento en el saldo del 27.50% ($2.383,5 millones), pasando de esta forma de registrar en el 2014 un saldo de $8.666 a $11.049,6 millones en el 2015.</w:t>
      </w:r>
      <w:r w:rsidR="008F3AAB">
        <w:rPr>
          <w:rFonts w:ascii="Tahoma" w:hAnsi="Tahoma" w:cs="Tahoma"/>
        </w:rPr>
        <w:t xml:space="preserve"> </w:t>
      </w:r>
    </w:p>
    <w:p w:rsidR="005C163A" w:rsidRDefault="005C163A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Default="002D3A88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grupo de cuentas del P</w:t>
      </w:r>
      <w:r w:rsidR="00C220D6">
        <w:rPr>
          <w:rFonts w:ascii="Tahoma" w:hAnsi="Tahoma" w:cs="Tahoma"/>
        </w:rPr>
        <w:t xml:space="preserve">asivo, presentaron una disminución </w:t>
      </w:r>
      <w:r>
        <w:rPr>
          <w:rFonts w:ascii="Tahoma" w:hAnsi="Tahoma" w:cs="Tahoma"/>
        </w:rPr>
        <w:t xml:space="preserve"> entre las</w:t>
      </w:r>
      <w:r w:rsidR="00756241">
        <w:rPr>
          <w:rFonts w:ascii="Tahoma" w:hAnsi="Tahoma" w:cs="Tahoma"/>
        </w:rPr>
        <w:t xml:space="preserve"> vigencias 2014 y 2015 del 17.92%</w:t>
      </w:r>
      <w:r w:rsidR="00BE66C2">
        <w:rPr>
          <w:rFonts w:ascii="Tahoma" w:hAnsi="Tahoma" w:cs="Tahoma"/>
        </w:rPr>
        <w:t>% al pasar de $9.227,8</w:t>
      </w:r>
      <w:r w:rsidR="00C220D6">
        <w:rPr>
          <w:rFonts w:ascii="Tahoma" w:hAnsi="Tahoma" w:cs="Tahoma"/>
        </w:rPr>
        <w:t xml:space="preserve"> millones</w:t>
      </w:r>
      <w:r w:rsidR="00BE66C2">
        <w:rPr>
          <w:rFonts w:ascii="Tahoma" w:hAnsi="Tahoma" w:cs="Tahoma"/>
        </w:rPr>
        <w:t xml:space="preserve"> en el 2014  a $7.573,9</w:t>
      </w:r>
      <w:r w:rsidR="007B72D9">
        <w:rPr>
          <w:rFonts w:ascii="Tahoma" w:hAnsi="Tahoma" w:cs="Tahoma"/>
        </w:rPr>
        <w:t xml:space="preserve"> millones</w:t>
      </w:r>
      <w:r w:rsidR="00BE66C2">
        <w:rPr>
          <w:rFonts w:ascii="Tahoma" w:hAnsi="Tahoma" w:cs="Tahoma"/>
        </w:rPr>
        <w:t xml:space="preserve"> en el 2015. Dentro de este grupo  se puede evidenciar que la deuda de mayor representatividad es la de “Obligaciones Laborales” cuenta que finalizó el periodo 2015 en $4.073,6 millones, con tan solo una disminución en el saldo del 2014 del 6.87% representados en  $300,3 millones. </w:t>
      </w:r>
    </w:p>
    <w:p w:rsidR="00BE66C2" w:rsidRDefault="00BE66C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BE66C2" w:rsidRDefault="00BE66C2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“Pasivos Estimados” no presentó ninguna variación en el saldo, cuantificando dicha cuenta para las dos vigencias  con $331,7 millones, es decir que las contingencias de la  entidad no fueron modificadas pese cursar nuevos procesos en contra de la entidad.</w:t>
      </w:r>
    </w:p>
    <w:p w:rsidR="00756241" w:rsidRDefault="0075624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756241" w:rsidRDefault="00BE66C2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“Otros Pasivos”, por el contrario presentó una disminución del 49.23% en el saldo registrado en el 2014 ($2.082 millones), conllevando de esta forma a contabilizar al finalizar la anualidad 2015 en $</w:t>
      </w:r>
      <w:r w:rsidR="002C4859">
        <w:rPr>
          <w:rFonts w:ascii="Tahoma" w:hAnsi="Tahoma" w:cs="Tahoma"/>
        </w:rPr>
        <w:t>1.029,6 millones.</w:t>
      </w:r>
    </w:p>
    <w:p w:rsidR="002C4859" w:rsidRDefault="002C485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Default="004674EF" w:rsidP="002C485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Patrimonio </w:t>
      </w:r>
      <w:r w:rsidR="006C051C">
        <w:rPr>
          <w:rFonts w:ascii="Tahoma" w:hAnsi="Tahoma" w:cs="Tahoma"/>
        </w:rPr>
        <w:t xml:space="preserve"> refleja</w:t>
      </w:r>
      <w:r>
        <w:rPr>
          <w:rFonts w:ascii="Tahoma" w:hAnsi="Tahoma" w:cs="Tahoma"/>
        </w:rPr>
        <w:t xml:space="preserve"> </w:t>
      </w:r>
      <w:r w:rsidR="006C051C">
        <w:rPr>
          <w:rFonts w:ascii="Tahoma" w:hAnsi="Tahoma" w:cs="Tahoma"/>
        </w:rPr>
        <w:t xml:space="preserve"> </w:t>
      </w:r>
      <w:r w:rsidR="002C4859">
        <w:rPr>
          <w:rFonts w:ascii="Tahoma" w:hAnsi="Tahoma" w:cs="Tahoma"/>
        </w:rPr>
        <w:t>un aumento en el saldo del 8.66% esto es $2.120,9</w:t>
      </w:r>
      <w:r>
        <w:rPr>
          <w:rFonts w:ascii="Tahoma" w:hAnsi="Tahoma" w:cs="Tahoma"/>
        </w:rPr>
        <w:t xml:space="preserve"> millones, </w:t>
      </w:r>
      <w:r w:rsidR="002C4859">
        <w:rPr>
          <w:rFonts w:ascii="Tahoma" w:hAnsi="Tahoma" w:cs="Tahoma"/>
        </w:rPr>
        <w:t xml:space="preserve">apalancado principalmente por el  “Resultado del Ejercicio” cuya cuenta presento una variación porcentual del 110.86% pasando de registrar en el 2014 una pérdida del ejercicio cuantificada en 996,1 millones a un excedente  en el 2015 de $108,1 millones. </w:t>
      </w:r>
    </w:p>
    <w:p w:rsidR="002C4859" w:rsidRDefault="002C4859" w:rsidP="002C4859">
      <w:pPr>
        <w:spacing w:before="0" w:after="0" w:line="228" w:lineRule="auto"/>
        <w:jc w:val="both"/>
        <w:rPr>
          <w:rFonts w:ascii="Tahoma" w:hAnsi="Tahoma" w:cs="Tahoma"/>
        </w:rPr>
      </w:pPr>
    </w:p>
    <w:p w:rsidR="002C4859" w:rsidRDefault="002C4859" w:rsidP="002C4859">
      <w:pPr>
        <w:spacing w:before="0" w:after="0" w:line="228" w:lineRule="auto"/>
        <w:jc w:val="both"/>
        <w:rPr>
          <w:rFonts w:ascii="Tahoma" w:hAnsi="Tahoma" w:cs="Tahoma"/>
        </w:rPr>
      </w:pPr>
    </w:p>
    <w:p w:rsidR="002C4859" w:rsidRDefault="002C4859" w:rsidP="002C4859">
      <w:pPr>
        <w:spacing w:before="0" w:after="0" w:line="228" w:lineRule="auto"/>
        <w:jc w:val="both"/>
        <w:rPr>
          <w:rFonts w:ascii="Tahoma" w:hAnsi="Tahoma" w:cs="Tahoma"/>
        </w:rPr>
      </w:pPr>
    </w:p>
    <w:p w:rsidR="002C4859" w:rsidRDefault="002C4859" w:rsidP="002C4859">
      <w:pPr>
        <w:spacing w:before="0" w:after="0" w:line="228" w:lineRule="auto"/>
        <w:jc w:val="both"/>
        <w:rPr>
          <w:rFonts w:ascii="Tahoma" w:hAnsi="Tahoma" w:cs="Tahoma"/>
        </w:rPr>
      </w:pPr>
    </w:p>
    <w:p w:rsidR="002C4859" w:rsidRDefault="002C4859" w:rsidP="002C4859">
      <w:pPr>
        <w:spacing w:before="0" w:after="0" w:line="228" w:lineRule="auto"/>
        <w:jc w:val="both"/>
        <w:rPr>
          <w:rFonts w:ascii="Tahoma" w:hAnsi="Tahoma" w:cs="Tahoma"/>
        </w:rPr>
      </w:pPr>
    </w:p>
    <w:p w:rsidR="002C4859" w:rsidRDefault="002C4859" w:rsidP="002C4859">
      <w:pPr>
        <w:spacing w:before="0" w:after="0" w:line="228" w:lineRule="auto"/>
        <w:jc w:val="both"/>
        <w:rPr>
          <w:rFonts w:ascii="Tahoma" w:hAnsi="Tahoma" w:cs="Tahoma"/>
        </w:rPr>
      </w:pPr>
    </w:p>
    <w:p w:rsidR="002C4859" w:rsidRDefault="002C4859" w:rsidP="002C4859">
      <w:pPr>
        <w:spacing w:before="0" w:after="0" w:line="228" w:lineRule="auto"/>
        <w:jc w:val="both"/>
        <w:rPr>
          <w:rFonts w:ascii="Tahoma" w:hAnsi="Tahoma" w:cs="Tahoma"/>
        </w:rPr>
      </w:pPr>
    </w:p>
    <w:p w:rsidR="002C4859" w:rsidRDefault="002C4859" w:rsidP="002C4859">
      <w:pPr>
        <w:spacing w:before="0" w:after="0" w:line="228" w:lineRule="auto"/>
        <w:jc w:val="both"/>
        <w:rPr>
          <w:rFonts w:ascii="Tahoma" w:hAnsi="Tahoma" w:cs="Tahoma"/>
        </w:rPr>
      </w:pPr>
    </w:p>
    <w:p w:rsidR="002C4859" w:rsidRDefault="002C4859" w:rsidP="002C4859">
      <w:pPr>
        <w:spacing w:before="0" w:after="0" w:line="228" w:lineRule="auto"/>
        <w:jc w:val="both"/>
        <w:rPr>
          <w:rFonts w:ascii="Tahoma" w:hAnsi="Tahoma" w:cs="Tahoma"/>
        </w:rPr>
      </w:pPr>
    </w:p>
    <w:p w:rsidR="002C4859" w:rsidRDefault="002C4859" w:rsidP="002C4859">
      <w:pPr>
        <w:spacing w:before="0" w:after="0" w:line="228" w:lineRule="auto"/>
        <w:jc w:val="both"/>
        <w:rPr>
          <w:rFonts w:ascii="Tahoma" w:hAnsi="Tahoma" w:cs="Tahoma"/>
        </w:rPr>
      </w:pPr>
    </w:p>
    <w:p w:rsidR="0031286D" w:rsidRPr="00AD4CE9" w:rsidRDefault="0031286D" w:rsidP="00AD4CE9">
      <w:pPr>
        <w:spacing w:before="0" w:after="0" w:line="228" w:lineRule="auto"/>
        <w:rPr>
          <w:rFonts w:ascii="Tahoma" w:hAnsi="Tahoma" w:cs="Tahoma"/>
        </w:rPr>
      </w:pPr>
    </w:p>
    <w:p w:rsidR="00BC5D7D" w:rsidRDefault="00BC5D7D" w:rsidP="00AD4CE9">
      <w:pPr>
        <w:pStyle w:val="Prrafodelista"/>
        <w:numPr>
          <w:ilvl w:val="0"/>
          <w:numId w:val="50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lastRenderedPageBreak/>
        <w:t>ESTADO DE ACTIVIDAD FINANCIERA, ECONÓMICA, SOCIAL Y AMBIENTAL COMPARATIVO</w:t>
      </w:r>
    </w:p>
    <w:p w:rsidR="00E16EF6" w:rsidRPr="00AD4CE9" w:rsidRDefault="00E16EF6" w:rsidP="00AD4CE9">
      <w:pPr>
        <w:spacing w:before="0" w:after="0" w:line="228" w:lineRule="auto"/>
        <w:rPr>
          <w:rFonts w:ascii="Tahoma" w:hAnsi="Tahoma" w:cs="Tahoma"/>
        </w:rPr>
      </w:pPr>
    </w:p>
    <w:p w:rsidR="00BC5D7D" w:rsidRPr="00AD4CE9" w:rsidRDefault="002C4859" w:rsidP="00AD4CE9">
      <w:pPr>
        <w:spacing w:before="0" w:after="0" w:line="228" w:lineRule="auto"/>
        <w:rPr>
          <w:rFonts w:ascii="Tahoma" w:hAnsi="Tahoma" w:cs="Tahoma"/>
        </w:rPr>
      </w:pPr>
      <w:r w:rsidRPr="002C4859">
        <w:rPr>
          <w:noProof/>
        </w:rPr>
        <w:drawing>
          <wp:inline distT="0" distB="0" distL="0" distR="0" wp14:anchorId="001BFFFD" wp14:editId="4D38488D">
            <wp:extent cx="5613400" cy="2092145"/>
            <wp:effectExtent l="0" t="0" r="6350" b="381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209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64A" w:rsidRDefault="0012564A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D533E" w:rsidRDefault="005D533E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Analizado el Es</w:t>
      </w:r>
      <w:r w:rsidR="0031286D">
        <w:rPr>
          <w:rFonts w:ascii="Tahoma" w:hAnsi="Tahoma" w:cs="Tahoma"/>
        </w:rPr>
        <w:t>tado de Actividad Fina</w:t>
      </w:r>
      <w:r w:rsidR="002C4859">
        <w:rPr>
          <w:rFonts w:ascii="Tahoma" w:hAnsi="Tahoma" w:cs="Tahoma"/>
        </w:rPr>
        <w:t>nciera de la “</w:t>
      </w:r>
      <w:r w:rsidR="00D5783F">
        <w:rPr>
          <w:rFonts w:ascii="Tahoma" w:hAnsi="Tahoma" w:cs="Tahoma"/>
        </w:rPr>
        <w:t>La Fábrica de Licores del Tolima</w:t>
      </w:r>
      <w:r w:rsidR="0031286D">
        <w:rPr>
          <w:rFonts w:ascii="Tahoma" w:hAnsi="Tahoma" w:cs="Tahoma"/>
        </w:rPr>
        <w:t>”</w:t>
      </w:r>
      <w:r>
        <w:rPr>
          <w:rFonts w:ascii="Tahoma" w:hAnsi="Tahoma" w:cs="Tahoma"/>
        </w:rPr>
        <w:t xml:space="preserve"> </w:t>
      </w:r>
      <w:r w:rsidR="006D20E4">
        <w:rPr>
          <w:rFonts w:ascii="Tahoma" w:hAnsi="Tahoma" w:cs="Tahoma"/>
        </w:rPr>
        <w:t xml:space="preserve">a 31 de diciembre de 2015 frente al resultado obtenido en el 2014, se puede determinar que </w:t>
      </w:r>
      <w:r w:rsidR="00D5783F">
        <w:rPr>
          <w:rFonts w:ascii="Tahoma" w:hAnsi="Tahoma" w:cs="Tahoma"/>
        </w:rPr>
        <w:t>la entidad percibió</w:t>
      </w:r>
      <w:r w:rsidR="006D20E4">
        <w:rPr>
          <w:rFonts w:ascii="Tahoma" w:hAnsi="Tahoma" w:cs="Tahoma"/>
        </w:rPr>
        <w:t xml:space="preserve"> ingresos</w:t>
      </w:r>
      <w:r w:rsidR="00D5783F">
        <w:rPr>
          <w:rFonts w:ascii="Tahoma" w:hAnsi="Tahoma" w:cs="Tahoma"/>
        </w:rPr>
        <w:t xml:space="preserve"> en cuantía de $9.781,6 millones, superando en un 37.26% ($2.658 millones)</w:t>
      </w:r>
      <w:r w:rsidR="006D20E4">
        <w:rPr>
          <w:rFonts w:ascii="Tahoma" w:hAnsi="Tahoma" w:cs="Tahoma"/>
        </w:rPr>
        <w:t xml:space="preserve"> </w:t>
      </w:r>
      <w:r w:rsidR="00D5783F">
        <w:rPr>
          <w:rFonts w:ascii="Tahoma" w:hAnsi="Tahoma" w:cs="Tahoma"/>
        </w:rPr>
        <w:t>el saldo registrado en el 2014.</w:t>
      </w:r>
      <w:r w:rsidR="006D20E4">
        <w:rPr>
          <w:rFonts w:ascii="Tahoma" w:hAnsi="Tahoma" w:cs="Tahoma"/>
        </w:rPr>
        <w:t>presentaron entre las dos v</w:t>
      </w:r>
      <w:r w:rsidR="0031286D">
        <w:rPr>
          <w:rFonts w:ascii="Tahoma" w:hAnsi="Tahoma" w:cs="Tahoma"/>
        </w:rPr>
        <w:t>igencias un incremento del 26.12% es decir $2.055</w:t>
      </w:r>
      <w:r w:rsidR="006D20E4">
        <w:rPr>
          <w:rFonts w:ascii="Tahoma" w:hAnsi="Tahoma" w:cs="Tahoma"/>
        </w:rPr>
        <w:t xml:space="preserve"> millones</w:t>
      </w:r>
      <w:r w:rsidR="005D66B0">
        <w:rPr>
          <w:rFonts w:ascii="Tahoma" w:hAnsi="Tahoma" w:cs="Tahoma"/>
        </w:rPr>
        <w:t xml:space="preserve">, </w:t>
      </w:r>
      <w:r w:rsidR="0031286D">
        <w:rPr>
          <w:rFonts w:ascii="Tahoma" w:hAnsi="Tahoma" w:cs="Tahoma"/>
        </w:rPr>
        <w:t xml:space="preserve"> al pasar de $7.866,8</w:t>
      </w:r>
      <w:r w:rsidR="006D20E4">
        <w:rPr>
          <w:rFonts w:ascii="Tahoma" w:hAnsi="Tahoma" w:cs="Tahoma"/>
        </w:rPr>
        <w:t xml:space="preserve"> millones  </w:t>
      </w:r>
      <w:r w:rsidR="0031286D">
        <w:rPr>
          <w:rFonts w:ascii="Tahoma" w:hAnsi="Tahoma" w:cs="Tahoma"/>
        </w:rPr>
        <w:t xml:space="preserve">en el 2014 a $9.921,9 </w:t>
      </w:r>
      <w:r w:rsidR="00AA22C9">
        <w:rPr>
          <w:rFonts w:ascii="Tahoma" w:hAnsi="Tahoma" w:cs="Tahoma"/>
        </w:rPr>
        <w:t xml:space="preserve"> millones en el 2015, resultado que deja en evidencia la gestión </w:t>
      </w:r>
      <w:r w:rsidR="0031286D">
        <w:rPr>
          <w:rFonts w:ascii="Tahoma" w:hAnsi="Tahoma" w:cs="Tahoma"/>
        </w:rPr>
        <w:t xml:space="preserve"> adelantada por la administración durante la anualidad.</w:t>
      </w:r>
    </w:p>
    <w:p w:rsidR="00AA22C9" w:rsidRDefault="00AA22C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D533E" w:rsidRDefault="00D5783F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Venta de Servicios,</w:t>
      </w:r>
      <w:r w:rsidR="0031286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cuenta  que representa el 86,2% de los ingresos percibidos por la Fábrica, finalizó la anualidad 2015 con un saldo de $8.441,1 millones, evidenciándose un incremento del 24.42% ($1.656,7 millones) más de lo c</w:t>
      </w:r>
      <w:r w:rsidR="006D3A83">
        <w:rPr>
          <w:rFonts w:ascii="Tahoma" w:hAnsi="Tahoma" w:cs="Tahoma"/>
        </w:rPr>
        <w:t xml:space="preserve">ontabilizado en el 2014. </w:t>
      </w:r>
    </w:p>
    <w:p w:rsidR="006D3A83" w:rsidRDefault="006D3A83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D3A83" w:rsidRDefault="006D3A83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 wp14:anchorId="6379B8CA">
            <wp:extent cx="3569782" cy="2108200"/>
            <wp:effectExtent l="0" t="0" r="0" b="635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7697" cy="2112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3A83" w:rsidRDefault="006D3A83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D3A83" w:rsidRDefault="006D3A83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2564A" w:rsidRDefault="006D3A83" w:rsidP="0012564A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gastos </w:t>
      </w:r>
      <w:r w:rsidR="0012564A">
        <w:rPr>
          <w:rFonts w:ascii="Tahoma" w:hAnsi="Tahoma" w:cs="Tahoma"/>
        </w:rPr>
        <w:t>mantuvieron un crecimiento porcen</w:t>
      </w:r>
      <w:r>
        <w:rPr>
          <w:rFonts w:ascii="Tahoma" w:hAnsi="Tahoma" w:cs="Tahoma"/>
        </w:rPr>
        <w:t>tual en el saldo obtenido en la vigencia 2014 del 22.79%</w:t>
      </w:r>
      <w:r w:rsidR="00E83BFF">
        <w:rPr>
          <w:rFonts w:ascii="Tahoma" w:hAnsi="Tahoma" w:cs="Tahoma"/>
        </w:rPr>
        <w:t xml:space="preserve"> finalizando de esta forma con un saldo de $5.500,3 millones, cuantía que supera en $1.020,9 millones el saldo de la vigencia 2014.   </w:t>
      </w:r>
      <w:r w:rsidR="0012564A">
        <w:rPr>
          <w:rFonts w:ascii="Tahoma" w:hAnsi="Tahoma" w:cs="Tahoma"/>
        </w:rPr>
        <w:t xml:space="preserve"> </w:t>
      </w:r>
      <w:r w:rsidR="00E83BFF">
        <w:rPr>
          <w:rFonts w:ascii="Tahoma" w:hAnsi="Tahoma" w:cs="Tahoma"/>
        </w:rPr>
        <w:t xml:space="preserve">Dentro del grupo de cuentas de gastos la de mayor representatividad son los gastos por concepto de “Administración” cuenta que finalizó el periodo 2015 en $4.842 millones, superando el saldo de la vigencia 2014 en $926,3 millones que representan el 23.66%. </w:t>
      </w:r>
    </w:p>
    <w:p w:rsidR="00BC5D7D" w:rsidRPr="00AD4CE9" w:rsidRDefault="00BC5D7D" w:rsidP="00AD4CE9">
      <w:pPr>
        <w:spacing w:before="0" w:after="0" w:line="228" w:lineRule="auto"/>
        <w:rPr>
          <w:rFonts w:ascii="Tahoma" w:hAnsi="Tahoma" w:cs="Tahoma"/>
        </w:rPr>
      </w:pPr>
    </w:p>
    <w:p w:rsidR="00BC5D7D" w:rsidRPr="00AD4CE9" w:rsidRDefault="00814D3D" w:rsidP="00AD4CE9">
      <w:pPr>
        <w:pStyle w:val="Prrafodelista"/>
        <w:numPr>
          <w:ilvl w:val="0"/>
          <w:numId w:val="50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APLICACIÓN DE INDICADORES FINANCIEROS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814D3D" w:rsidP="00AD4CE9">
      <w:pPr>
        <w:pStyle w:val="Prrafodelista"/>
        <w:numPr>
          <w:ilvl w:val="1"/>
          <w:numId w:val="50"/>
        </w:num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Indicadores de liquidez y Solvencia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</w:t>
      </w:r>
      <w:r w:rsidR="0012564A">
        <w:rPr>
          <w:rFonts w:ascii="Tahoma" w:hAnsi="Tahoma" w:cs="Tahoma"/>
        </w:rPr>
        <w:t xml:space="preserve"> Corriente: N</w:t>
      </w:r>
      <w:r w:rsidR="00814D3D" w:rsidRPr="00AD4CE9">
        <w:rPr>
          <w:rFonts w:ascii="Tahoma" w:hAnsi="Tahoma" w:cs="Tahoma"/>
        </w:rPr>
        <w:t>os muestra la capacidad que tiene la entidad</w:t>
      </w:r>
      <w:r w:rsidRPr="00AD4CE9"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/ Pasivo Corriente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Activo Corriente:</w:t>
      </w:r>
    </w:p>
    <w:p w:rsidR="00160B31" w:rsidRPr="00A22617" w:rsidRDefault="00556949" w:rsidP="002561EF">
      <w:pPr>
        <w:spacing w:before="0" w:after="0"/>
        <w:jc w:val="both"/>
        <w:rPr>
          <w:rFonts w:ascii="Tahoma" w:eastAsia="Times New Roman" w:hAnsi="Tahoma" w:cs="Tahoma"/>
          <w:color w:val="auto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A22617" w:rsidRPr="00A22617">
        <w:rPr>
          <w:sz w:val="20"/>
          <w:szCs w:val="20"/>
        </w:rPr>
        <w:t xml:space="preserve"> </w:t>
      </w:r>
      <w:r w:rsidR="00822618">
        <w:rPr>
          <w:rFonts w:ascii="Tahoma" w:eastAsia="Times New Roman" w:hAnsi="Tahoma" w:cs="Tahoma"/>
          <w:color w:val="auto"/>
        </w:rPr>
        <w:t>1.555.240</w:t>
      </w:r>
      <w:r w:rsidRPr="00A22617">
        <w:rPr>
          <w:rFonts w:ascii="Tahoma" w:hAnsi="Tahoma" w:cs="Tahoma"/>
        </w:rPr>
        <w:tab/>
        <w:t xml:space="preserve">  </w:t>
      </w:r>
      <w:r w:rsidR="003D5BDF" w:rsidRPr="00A22617">
        <w:rPr>
          <w:rFonts w:ascii="Tahoma" w:hAnsi="Tahoma" w:cs="Tahoma"/>
        </w:rPr>
        <w:t xml:space="preserve"> </w:t>
      </w:r>
      <w:r w:rsidR="00A22617" w:rsidRPr="00A22617">
        <w:rPr>
          <w:rFonts w:ascii="Tahoma" w:hAnsi="Tahoma" w:cs="Tahoma"/>
        </w:rPr>
        <w:t xml:space="preserve"> </w:t>
      </w:r>
    </w:p>
    <w:p w:rsidR="00822618" w:rsidRDefault="00822618" w:rsidP="002561EF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Inversiones                 4.113.176</w:t>
      </w:r>
    </w:p>
    <w:p w:rsidR="001666F5" w:rsidRPr="00A22617" w:rsidRDefault="001666F5" w:rsidP="002561EF">
      <w:pPr>
        <w:spacing w:before="0" w:after="0"/>
        <w:jc w:val="both"/>
        <w:rPr>
          <w:rFonts w:ascii="Tahoma" w:eastAsia="Times New Roman" w:hAnsi="Tahoma" w:cs="Tahoma"/>
          <w:color w:val="auto"/>
        </w:rPr>
      </w:pPr>
      <w:r w:rsidRPr="00A22617">
        <w:rPr>
          <w:rFonts w:ascii="Tahoma" w:hAnsi="Tahoma" w:cs="Tahoma"/>
        </w:rPr>
        <w:t>Deudores</w:t>
      </w:r>
      <w:r w:rsidRPr="00A22617">
        <w:rPr>
          <w:rFonts w:ascii="Tahoma" w:hAnsi="Tahoma" w:cs="Tahoma"/>
        </w:rPr>
        <w:tab/>
      </w:r>
      <w:r w:rsidRPr="00A22617">
        <w:rPr>
          <w:rFonts w:ascii="Tahoma" w:hAnsi="Tahoma" w:cs="Tahoma"/>
        </w:rPr>
        <w:tab/>
        <w:t xml:space="preserve"> </w:t>
      </w:r>
      <w:r w:rsidR="00A22617" w:rsidRPr="00A22617">
        <w:rPr>
          <w:rFonts w:ascii="Tahoma" w:hAnsi="Tahoma" w:cs="Tahoma"/>
        </w:rPr>
        <w:t xml:space="preserve">    </w:t>
      </w:r>
      <w:r w:rsidR="00822618">
        <w:rPr>
          <w:rFonts w:ascii="Tahoma" w:eastAsia="Times New Roman" w:hAnsi="Tahoma" w:cs="Tahoma"/>
          <w:color w:val="auto"/>
        </w:rPr>
        <w:t xml:space="preserve"> 993.216</w:t>
      </w:r>
    </w:p>
    <w:p w:rsidR="00A22617" w:rsidRDefault="00A22617" w:rsidP="002561EF">
      <w:pPr>
        <w:spacing w:before="0" w:after="0"/>
        <w:jc w:val="both"/>
        <w:rPr>
          <w:rFonts w:ascii="Tahoma" w:eastAsia="Times New Roman" w:hAnsi="Tahoma" w:cs="Tahoma"/>
          <w:color w:val="auto"/>
        </w:rPr>
      </w:pPr>
      <w:r w:rsidRPr="00A22617">
        <w:rPr>
          <w:rFonts w:ascii="Tahoma" w:eastAsia="Times New Roman" w:hAnsi="Tahoma" w:cs="Tahoma"/>
          <w:color w:val="auto"/>
        </w:rPr>
        <w:t xml:space="preserve">Otros </w:t>
      </w:r>
      <w:r w:rsidR="00822618">
        <w:rPr>
          <w:rFonts w:ascii="Tahoma" w:eastAsia="Times New Roman" w:hAnsi="Tahoma" w:cs="Tahoma"/>
          <w:color w:val="auto"/>
        </w:rPr>
        <w:t>Deudores                42.433</w:t>
      </w:r>
    </w:p>
    <w:p w:rsidR="00822618" w:rsidRPr="00A22617" w:rsidRDefault="00822618" w:rsidP="002561EF">
      <w:pPr>
        <w:spacing w:before="0" w:after="0"/>
        <w:jc w:val="both"/>
        <w:rPr>
          <w:rFonts w:ascii="Tahoma" w:eastAsia="Times New Roman" w:hAnsi="Tahoma" w:cs="Tahoma"/>
          <w:color w:val="auto"/>
        </w:rPr>
      </w:pPr>
      <w:r>
        <w:rPr>
          <w:rFonts w:ascii="Tahoma" w:eastAsia="Times New Roman" w:hAnsi="Tahoma" w:cs="Tahoma"/>
          <w:color w:val="auto"/>
        </w:rPr>
        <w:t>Inventarios                     914.538</w:t>
      </w:r>
    </w:p>
    <w:p w:rsidR="001666F5" w:rsidRPr="00AD4CE9" w:rsidRDefault="001666F5" w:rsidP="002561EF">
      <w:pPr>
        <w:spacing w:before="0" w:after="0"/>
        <w:rPr>
          <w:rFonts w:ascii="Tahoma" w:hAnsi="Tahoma" w:cs="Tahoma"/>
        </w:rPr>
      </w:pP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>----------------</w:t>
      </w:r>
      <w:r w:rsidR="000467A1" w:rsidRPr="00AD4CE9">
        <w:rPr>
          <w:rFonts w:ascii="Tahoma" w:hAnsi="Tahoma" w:cs="Tahoma"/>
        </w:rPr>
        <w:t>----</w:t>
      </w:r>
    </w:p>
    <w:p w:rsidR="001666F5" w:rsidRPr="00AD4CE9" w:rsidRDefault="00A22617" w:rsidP="002561EF">
      <w:p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 w:rsidR="0082261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$</w:t>
      </w:r>
      <w:r w:rsidR="00822618">
        <w:rPr>
          <w:rFonts w:ascii="Tahoma" w:hAnsi="Tahoma" w:cs="Tahoma"/>
        </w:rPr>
        <w:t>7.618.603</w:t>
      </w:r>
    </w:p>
    <w:p w:rsidR="001666F5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04345F" w:rsidRPr="00AD4CE9" w:rsidRDefault="0004345F" w:rsidP="00AD4CE9">
      <w:pPr>
        <w:spacing w:before="0" w:after="0" w:line="228" w:lineRule="auto"/>
        <w:rPr>
          <w:rFonts w:ascii="Tahoma" w:hAnsi="Tahoma" w:cs="Tahoma"/>
        </w:rPr>
      </w:pPr>
    </w:p>
    <w:p w:rsidR="001666F5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Pasivo Corriente:</w:t>
      </w:r>
    </w:p>
    <w:p w:rsidR="0004345F" w:rsidRPr="00AD4CE9" w:rsidRDefault="0004345F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04345F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Cuentas por Pagar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</w:t>
      </w:r>
      <w:r w:rsidR="003D5BDF">
        <w:rPr>
          <w:rFonts w:ascii="Tahoma" w:hAnsi="Tahoma" w:cs="Tahoma"/>
        </w:rPr>
        <w:t xml:space="preserve"> </w:t>
      </w:r>
      <w:r w:rsidR="002E494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$</w:t>
      </w:r>
      <w:r w:rsidR="00822618">
        <w:rPr>
          <w:rFonts w:ascii="Tahoma" w:hAnsi="Tahoma" w:cs="Tahoma"/>
        </w:rPr>
        <w:t>2.138.949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Obligaciones Laborales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="00822618">
        <w:rPr>
          <w:rFonts w:ascii="Tahoma" w:hAnsi="Tahoma" w:cs="Tahoma"/>
        </w:rPr>
        <w:t xml:space="preserve">   4.073.669</w:t>
      </w:r>
    </w:p>
    <w:p w:rsidR="001666F5" w:rsidRPr="00AD4CE9" w:rsidRDefault="000467A1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    </w:t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 xml:space="preserve">          ---</w:t>
      </w:r>
      <w:r w:rsidR="001666F5" w:rsidRPr="00AD4CE9">
        <w:rPr>
          <w:rFonts w:ascii="Tahoma" w:hAnsi="Tahoma" w:cs="Tahoma"/>
        </w:rPr>
        <w:t>----------------</w:t>
      </w:r>
    </w:p>
    <w:p w:rsidR="001666F5" w:rsidRPr="00AD4CE9" w:rsidRDefault="00822618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$6.212.618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2E494A" w:rsidRPr="00AD4CE9" w:rsidRDefault="002E494A" w:rsidP="002E494A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Razón Corriente </w:t>
      </w:r>
      <w:r w:rsidR="00822618">
        <w:rPr>
          <w:rFonts w:ascii="Tahoma" w:hAnsi="Tahoma" w:cs="Tahoma"/>
        </w:rPr>
        <w:t xml:space="preserve"> $7.618.603 / $6.212.618 = 1.22</w:t>
      </w:r>
    </w:p>
    <w:p w:rsidR="001666F5" w:rsidRPr="00AD4CE9" w:rsidRDefault="002E494A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A7456E" w:rsidRPr="00AD4CE9" w:rsidRDefault="00A7456E" w:rsidP="00AD4CE9">
      <w:pPr>
        <w:spacing w:before="0" w:after="0" w:line="228" w:lineRule="auto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muestra que por cada peso que</w:t>
      </w:r>
      <w:r w:rsidR="008A0D90">
        <w:rPr>
          <w:rFonts w:ascii="Tahoma" w:hAnsi="Tahoma" w:cs="Tahoma"/>
        </w:rPr>
        <w:t xml:space="preserve"> la </w:t>
      </w:r>
      <w:r w:rsidR="00706FDE">
        <w:rPr>
          <w:rFonts w:ascii="Tahoma" w:hAnsi="Tahoma" w:cs="Tahoma"/>
        </w:rPr>
        <w:t>“</w:t>
      </w:r>
      <w:r w:rsidR="00822618">
        <w:rPr>
          <w:rFonts w:ascii="Tahoma" w:hAnsi="Tahoma" w:cs="Tahoma"/>
        </w:rPr>
        <w:t xml:space="preserve">Fábrica </w:t>
      </w:r>
      <w:r w:rsidR="002E494A">
        <w:rPr>
          <w:rFonts w:ascii="Tahoma" w:hAnsi="Tahoma" w:cs="Tahoma"/>
        </w:rPr>
        <w:t xml:space="preserve"> del Tolima</w:t>
      </w:r>
      <w:r w:rsidR="00706FDE">
        <w:rPr>
          <w:rFonts w:ascii="Tahoma" w:hAnsi="Tahoma" w:cs="Tahoma"/>
        </w:rPr>
        <w:t>”</w:t>
      </w:r>
      <w:r w:rsidR="002E494A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debe a corto plazo, cuenta con </w:t>
      </w:r>
      <w:r w:rsidR="00706FDE">
        <w:rPr>
          <w:rFonts w:ascii="Tahoma" w:hAnsi="Tahoma" w:cs="Tahoma"/>
        </w:rPr>
        <w:t>$</w:t>
      </w:r>
      <w:r w:rsidR="00822618">
        <w:rPr>
          <w:rFonts w:ascii="Tahoma" w:hAnsi="Tahoma" w:cs="Tahoma"/>
        </w:rPr>
        <w:t>1.22</w:t>
      </w:r>
      <w:r w:rsidR="00204E7B" w:rsidRPr="00AD4CE9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pesos en activos corriente para cu</w:t>
      </w:r>
      <w:r w:rsidR="00822618">
        <w:rPr>
          <w:rFonts w:ascii="Tahoma" w:hAnsi="Tahoma" w:cs="Tahoma"/>
        </w:rPr>
        <w:t xml:space="preserve">brirlos, lo que significa la escasa liquidez de la </w:t>
      </w:r>
      <w:r w:rsidR="00706FDE">
        <w:rPr>
          <w:rFonts w:ascii="Tahoma" w:hAnsi="Tahoma" w:cs="Tahoma"/>
        </w:rPr>
        <w:t>entidad</w:t>
      </w:r>
      <w:r w:rsidR="008A0D90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para cubrir sus pasivos de corto plazo.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lastRenderedPageBreak/>
        <w:t>CAPITAL NETO DE TRABAJO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– Pasivo Corriente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706FDE" w:rsidP="008A0D90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$7.618.603 - $6.212.618</w:t>
      </w:r>
      <w:r w:rsidR="002E494A">
        <w:rPr>
          <w:rFonts w:ascii="Tahoma" w:hAnsi="Tahoma" w:cs="Tahoma"/>
        </w:rPr>
        <w:t xml:space="preserve"> </w:t>
      </w:r>
      <w:r w:rsidR="00A7456E" w:rsidRPr="00AD4CE9">
        <w:rPr>
          <w:rFonts w:ascii="Tahoma" w:hAnsi="Tahoma" w:cs="Tahoma"/>
        </w:rPr>
        <w:t>= $</w:t>
      </w:r>
      <w:r>
        <w:rPr>
          <w:rFonts w:ascii="Tahoma" w:hAnsi="Tahoma" w:cs="Tahoma"/>
        </w:rPr>
        <w:t>1.405.985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anterior resultado nos indica que </w:t>
      </w:r>
      <w:r w:rsidR="00E0378C">
        <w:rPr>
          <w:rFonts w:ascii="Tahoma" w:hAnsi="Tahoma" w:cs="Tahoma"/>
        </w:rPr>
        <w:t xml:space="preserve">la entidad </w:t>
      </w:r>
      <w:r w:rsidR="00706FDE">
        <w:rPr>
          <w:rFonts w:ascii="Tahoma" w:hAnsi="Tahoma" w:cs="Tahoma"/>
        </w:rPr>
        <w:t>no</w:t>
      </w:r>
      <w:r w:rsidRPr="00AD4CE9">
        <w:rPr>
          <w:rFonts w:ascii="Tahoma" w:hAnsi="Tahoma" w:cs="Tahoma"/>
        </w:rPr>
        <w:t xml:space="preserve"> cuenta con suficientes recursos propios para operar.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NIVEL DE ENDEUDAMIENTO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Este indicador nos presenta el porcentaje de participación de los acreedores dentro de l</w:t>
      </w:r>
      <w:r w:rsidR="00706FDE">
        <w:rPr>
          <w:rFonts w:ascii="Tahoma" w:hAnsi="Tahoma" w:cs="Tahoma"/>
        </w:rPr>
        <w:t>os activos de la Fábrica de Licores</w:t>
      </w:r>
      <w:r w:rsidR="00E0378C">
        <w:rPr>
          <w:rFonts w:ascii="Tahoma" w:hAnsi="Tahoma" w:cs="Tahoma"/>
        </w:rPr>
        <w:t xml:space="preserve"> del Tolima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Pasivo Total con Terceros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706FDE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$6.212.618 /$34.193.334</w:t>
      </w:r>
      <w:r w:rsidR="008A1B70" w:rsidRPr="00AD4CE9">
        <w:rPr>
          <w:rFonts w:ascii="Tahoma" w:hAnsi="Tahoma" w:cs="Tahoma"/>
        </w:rPr>
        <w:t xml:space="preserve"> </w:t>
      </w:r>
      <w:r w:rsidR="003E25A9" w:rsidRPr="00AD4CE9">
        <w:rPr>
          <w:rFonts w:ascii="Tahoma" w:hAnsi="Tahoma" w:cs="Tahoma"/>
        </w:rPr>
        <w:t xml:space="preserve">= </w:t>
      </w:r>
      <w:r>
        <w:rPr>
          <w:rFonts w:ascii="Tahoma" w:hAnsi="Tahoma" w:cs="Tahoma"/>
        </w:rPr>
        <w:t>18.16</w:t>
      </w:r>
      <w:r w:rsidR="003E25A9" w:rsidRPr="00AD4CE9">
        <w:rPr>
          <w:rFonts w:ascii="Tahoma" w:hAnsi="Tahoma" w:cs="Tahoma"/>
        </w:rPr>
        <w:t>%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anterior resultado nos indica que del total de activos que posee </w:t>
      </w:r>
      <w:r w:rsidR="00706FDE">
        <w:rPr>
          <w:rFonts w:ascii="Tahoma" w:hAnsi="Tahoma" w:cs="Tahoma"/>
        </w:rPr>
        <w:t>la Fábrica de Licores del Tolima</w:t>
      </w:r>
      <w:r w:rsidRPr="00AD4CE9">
        <w:rPr>
          <w:rFonts w:ascii="Tahoma" w:hAnsi="Tahoma" w:cs="Tahoma"/>
        </w:rPr>
        <w:t xml:space="preserve">, el </w:t>
      </w:r>
      <w:r w:rsidR="00706FDE">
        <w:rPr>
          <w:rFonts w:ascii="Tahoma" w:hAnsi="Tahoma" w:cs="Tahoma"/>
        </w:rPr>
        <w:t>18.16</w:t>
      </w:r>
      <w:r w:rsidRPr="00AD4CE9">
        <w:rPr>
          <w:rFonts w:ascii="Tahoma" w:hAnsi="Tahoma" w:cs="Tahoma"/>
        </w:rPr>
        <w:t>% está siendo financiado por los acreedores.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 DEL PATRIMONIO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Nos muestra hasta </w:t>
      </w:r>
      <w:r w:rsidR="009F3F48" w:rsidRPr="00AD4CE9">
        <w:rPr>
          <w:rFonts w:ascii="Tahoma" w:hAnsi="Tahoma" w:cs="Tahoma"/>
        </w:rPr>
        <w:t>qué</w:t>
      </w:r>
      <w:r w:rsidRPr="00AD4CE9">
        <w:rPr>
          <w:rFonts w:ascii="Tahoma" w:hAnsi="Tahoma" w:cs="Tahoma"/>
        </w:rPr>
        <w:t xml:space="preserve"> punto la entidad tiene independencia financiera ante sus acreedores, se determina dividiendo el valor del patrimonio entre el activo total.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Patrimonio Total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764ABD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$</w:t>
      </w:r>
      <w:r w:rsidR="00706FDE">
        <w:rPr>
          <w:rFonts w:ascii="Tahoma" w:hAnsi="Tahoma" w:cs="Tahoma"/>
        </w:rPr>
        <w:t>26.619.354 /$34.193.334</w:t>
      </w:r>
      <w:r w:rsidR="00E0378C" w:rsidRPr="00AD4CE9">
        <w:rPr>
          <w:rFonts w:ascii="Tahoma" w:hAnsi="Tahoma" w:cs="Tahoma"/>
        </w:rPr>
        <w:t xml:space="preserve"> </w:t>
      </w:r>
      <w:r w:rsidR="005A36ED" w:rsidRPr="00AD4CE9">
        <w:rPr>
          <w:rFonts w:ascii="Tahoma" w:hAnsi="Tahoma" w:cs="Tahoma"/>
        </w:rPr>
        <w:t xml:space="preserve"> </w:t>
      </w:r>
      <w:r w:rsidR="00706FDE">
        <w:rPr>
          <w:rFonts w:ascii="Tahoma" w:hAnsi="Tahoma" w:cs="Tahoma"/>
        </w:rPr>
        <w:t>= 77.84</w:t>
      </w:r>
      <w:r w:rsidRPr="00AD4CE9">
        <w:rPr>
          <w:rFonts w:ascii="Tahoma" w:hAnsi="Tahoma" w:cs="Tahoma"/>
        </w:rPr>
        <w:t>%</w:t>
      </w: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porcentaje establecido a</w:t>
      </w:r>
      <w:r w:rsidR="00402C3D">
        <w:rPr>
          <w:rFonts w:ascii="Tahoma" w:hAnsi="Tahoma" w:cs="Tahoma"/>
        </w:rPr>
        <w:t>nter</w:t>
      </w:r>
      <w:r w:rsidR="00706FDE">
        <w:rPr>
          <w:rFonts w:ascii="Tahoma" w:hAnsi="Tahoma" w:cs="Tahoma"/>
        </w:rPr>
        <w:t>iormente nos indica que el 77.84</w:t>
      </w:r>
      <w:r w:rsidRPr="00AD4CE9">
        <w:rPr>
          <w:rFonts w:ascii="Tahoma" w:hAnsi="Tahoma" w:cs="Tahoma"/>
        </w:rPr>
        <w:t>% de los activos, están siendo financiados con capital propio.</w:t>
      </w:r>
    </w:p>
    <w:p w:rsidR="00706FDE" w:rsidRDefault="00706FDE" w:rsidP="00AD4CE9">
      <w:pPr>
        <w:spacing w:before="0" w:after="0" w:line="228" w:lineRule="auto"/>
        <w:jc w:val="both"/>
        <w:rPr>
          <w:rFonts w:ascii="Tahoma" w:hAnsi="Tahoma" w:cs="Tahoma"/>
        </w:rPr>
      </w:pPr>
      <w:bookmarkStart w:id="0" w:name="_GoBack"/>
      <w:bookmarkEnd w:id="0"/>
    </w:p>
    <w:p w:rsidR="00706FDE" w:rsidRPr="00AD4CE9" w:rsidRDefault="00706FD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6756E8" w:rsidP="00AD4CE9">
      <w:pPr>
        <w:pStyle w:val="Prrafodelista"/>
        <w:numPr>
          <w:ilvl w:val="0"/>
          <w:numId w:val="50"/>
        </w:numPr>
        <w:spacing w:before="0" w:after="0" w:line="228" w:lineRule="auto"/>
        <w:jc w:val="both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CONCEPTUALIZACION SO</w:t>
      </w:r>
      <w:r w:rsidR="00402C3D">
        <w:rPr>
          <w:rFonts w:ascii="Tahoma" w:hAnsi="Tahoma" w:cs="Tahoma"/>
          <w:b/>
        </w:rPr>
        <w:t>BRE LOS ESTADOS FINANCIEROS 2015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46AA8" w:rsidRDefault="00706FDE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Fábrica de Licores del Tolima d</w:t>
      </w:r>
      <w:r w:rsidR="006756E8" w:rsidRPr="00AD4CE9">
        <w:rPr>
          <w:rFonts w:ascii="Tahoma" w:hAnsi="Tahoma" w:cs="Tahoma"/>
        </w:rPr>
        <w:t>e</w:t>
      </w:r>
      <w:r w:rsidR="005A36ED" w:rsidRPr="00AD4CE9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>acuerdo con su Balanc</w:t>
      </w:r>
      <w:r>
        <w:rPr>
          <w:rFonts w:ascii="Tahoma" w:hAnsi="Tahoma" w:cs="Tahoma"/>
        </w:rPr>
        <w:t>e General terminado en la fecha 31 de diciembre de 2015,</w:t>
      </w:r>
      <w:r w:rsidR="006756E8" w:rsidRPr="00AD4CE9">
        <w:rPr>
          <w:rFonts w:ascii="Tahoma" w:hAnsi="Tahoma" w:cs="Tahoma"/>
        </w:rPr>
        <w:t xml:space="preserve"> se observa que sus activos totales crecieron un </w:t>
      </w:r>
      <w:r w:rsidR="00846AA8">
        <w:rPr>
          <w:rFonts w:ascii="Tahoma" w:hAnsi="Tahoma" w:cs="Tahoma"/>
        </w:rPr>
        <w:t>1.38% en la suma de  $467</w:t>
      </w:r>
      <w:r w:rsidR="00402C3D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>(mi</w:t>
      </w:r>
      <w:r w:rsidR="00402C3D">
        <w:rPr>
          <w:rFonts w:ascii="Tahoma" w:hAnsi="Tahoma" w:cs="Tahoma"/>
        </w:rPr>
        <w:t>l</w:t>
      </w:r>
      <w:r w:rsidR="006756E8" w:rsidRPr="00AD4CE9">
        <w:rPr>
          <w:rFonts w:ascii="Tahoma" w:hAnsi="Tahoma" w:cs="Tahoma"/>
        </w:rPr>
        <w:t xml:space="preserve">es de </w:t>
      </w:r>
      <w:r w:rsidR="00402C3D">
        <w:rPr>
          <w:rFonts w:ascii="Tahoma" w:hAnsi="Tahoma" w:cs="Tahoma"/>
        </w:rPr>
        <w:t>$), con relación al periodo 2014</w:t>
      </w:r>
      <w:r w:rsidR="00846AA8">
        <w:rPr>
          <w:rFonts w:ascii="Tahoma" w:hAnsi="Tahoma" w:cs="Tahoma"/>
        </w:rPr>
        <w:t>.</w:t>
      </w:r>
      <w:r w:rsidR="006756E8" w:rsidRPr="00AD4CE9">
        <w:rPr>
          <w:rFonts w:ascii="Tahoma" w:hAnsi="Tahoma" w:cs="Tahoma"/>
        </w:rPr>
        <w:t xml:space="preserve"> </w:t>
      </w:r>
    </w:p>
    <w:p w:rsidR="00846AA8" w:rsidRDefault="00846AA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46AA8" w:rsidRDefault="00846AA8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 patrimonio creció un 8.66</w:t>
      </w:r>
      <w:r w:rsidR="006756E8" w:rsidRPr="00AD4CE9">
        <w:rPr>
          <w:rFonts w:ascii="Tahoma" w:hAnsi="Tahoma" w:cs="Tahoma"/>
        </w:rPr>
        <w:t>%, apalancado princip</w:t>
      </w:r>
      <w:r w:rsidR="009D16E7">
        <w:rPr>
          <w:rFonts w:ascii="Tahoma" w:hAnsi="Tahoma" w:cs="Tahoma"/>
        </w:rPr>
        <w:t>almente por la cuenta</w:t>
      </w:r>
      <w:r>
        <w:rPr>
          <w:rFonts w:ascii="Tahoma" w:hAnsi="Tahoma" w:cs="Tahoma"/>
        </w:rPr>
        <w:t xml:space="preserve"> “Resultado del Ejercicio” que  finalizó la </w:t>
      </w:r>
      <w:r w:rsidR="009D16E7">
        <w:rPr>
          <w:rFonts w:ascii="Tahoma" w:hAnsi="Tahoma" w:cs="Tahoma"/>
        </w:rPr>
        <w:t>anualidad 2015</w:t>
      </w:r>
      <w:r>
        <w:rPr>
          <w:rFonts w:ascii="Tahoma" w:hAnsi="Tahoma" w:cs="Tahoma"/>
        </w:rPr>
        <w:t>, con un excedente en el periodo contable  de $1.104,3 millones después de haber finalizado el 2014</w:t>
      </w:r>
      <w:r w:rsidR="009D16E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registrando pérdidas en cuantía de $996,1 millones.</w:t>
      </w:r>
    </w:p>
    <w:p w:rsidR="00AD4CE9" w:rsidRPr="00AD4CE9" w:rsidRDefault="009D16E7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 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Su estructura financiera al </w:t>
      </w:r>
      <w:r w:rsidR="00402C3D">
        <w:rPr>
          <w:rFonts w:ascii="Tahoma" w:hAnsi="Tahoma" w:cs="Tahoma"/>
        </w:rPr>
        <w:t>cierre del periodo contable 2015</w:t>
      </w:r>
      <w:r w:rsidR="009D16E7">
        <w:rPr>
          <w:rFonts w:ascii="Tahoma" w:hAnsi="Tahoma" w:cs="Tahoma"/>
        </w:rPr>
        <w:t>,</w:t>
      </w:r>
      <w:r w:rsidR="00E87043">
        <w:rPr>
          <w:rFonts w:ascii="Tahoma" w:hAnsi="Tahoma" w:cs="Tahoma"/>
        </w:rPr>
        <w:t xml:space="preserve"> estaba representada en el 22.15% los pasivos y el 77.84</w:t>
      </w:r>
      <w:r w:rsidRPr="00AD4CE9">
        <w:rPr>
          <w:rFonts w:ascii="Tahoma" w:hAnsi="Tahoma" w:cs="Tahoma"/>
        </w:rPr>
        <w:t>% el patrimonio.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9D16E7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 entidad </w:t>
      </w:r>
      <w:r w:rsidR="000D2062" w:rsidRPr="00AD4CE9">
        <w:rPr>
          <w:rFonts w:ascii="Tahoma" w:hAnsi="Tahoma" w:cs="Tahoma"/>
        </w:rPr>
        <w:t xml:space="preserve"> presenta un nivel de endeudamiento bajo respecto al total de sus activos, alcanzando un margen del </w:t>
      </w:r>
      <w:r w:rsidR="00E87043">
        <w:rPr>
          <w:rFonts w:ascii="Tahoma" w:hAnsi="Tahoma" w:cs="Tahoma"/>
        </w:rPr>
        <w:t>18.16</w:t>
      </w:r>
      <w:r w:rsidR="000D2062" w:rsidRPr="00AD4CE9">
        <w:rPr>
          <w:rFonts w:ascii="Tahoma" w:hAnsi="Tahoma" w:cs="Tahoma"/>
        </w:rPr>
        <w:t>%.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De acuerdo con los resultados de sus indicadores </w:t>
      </w:r>
      <w:r w:rsidR="00C83948" w:rsidRPr="00AD4CE9">
        <w:rPr>
          <w:rFonts w:ascii="Tahoma" w:hAnsi="Tahoma" w:cs="Tahoma"/>
        </w:rPr>
        <w:t>podemo</w:t>
      </w:r>
      <w:r w:rsidR="00273691">
        <w:rPr>
          <w:rFonts w:ascii="Tahoma" w:hAnsi="Tahoma" w:cs="Tahoma"/>
        </w:rPr>
        <w:t>s concl</w:t>
      </w:r>
      <w:r w:rsidR="00E87043">
        <w:rPr>
          <w:rFonts w:ascii="Tahoma" w:hAnsi="Tahoma" w:cs="Tahoma"/>
        </w:rPr>
        <w:t xml:space="preserve">uir que la Fábrica de Licores </w:t>
      </w:r>
      <w:r w:rsidR="009D16E7">
        <w:rPr>
          <w:rFonts w:ascii="Tahoma" w:hAnsi="Tahoma" w:cs="Tahoma"/>
        </w:rPr>
        <w:t xml:space="preserve">del Tolima </w:t>
      </w:r>
      <w:r w:rsidR="00C83948" w:rsidRPr="00AD4CE9">
        <w:rPr>
          <w:rFonts w:ascii="Tahoma" w:hAnsi="Tahoma" w:cs="Tahoma"/>
        </w:rPr>
        <w:t>al corte del 3</w:t>
      </w:r>
      <w:r w:rsidR="00273691">
        <w:rPr>
          <w:rFonts w:ascii="Tahoma" w:hAnsi="Tahoma" w:cs="Tahoma"/>
        </w:rPr>
        <w:t>1</w:t>
      </w:r>
      <w:r w:rsidR="00402C3D">
        <w:rPr>
          <w:rFonts w:ascii="Tahoma" w:hAnsi="Tahoma" w:cs="Tahoma"/>
        </w:rPr>
        <w:t xml:space="preserve"> de diciembre de 2015</w:t>
      </w:r>
      <w:r w:rsidR="00C83948" w:rsidRPr="00AD4CE9">
        <w:rPr>
          <w:rFonts w:ascii="Tahoma" w:hAnsi="Tahoma" w:cs="Tahoma"/>
        </w:rPr>
        <w:t>, presentaba una situación financiera favorable.</w:t>
      </w:r>
    </w:p>
    <w:sectPr w:rsidR="00A7456E" w:rsidRPr="00AD4CE9" w:rsidSect="00454B8B">
      <w:headerReference w:type="default" r:id="rId11"/>
      <w:footerReference w:type="default" r:id="rId12"/>
      <w:pgSz w:w="12242" w:h="15842" w:code="1"/>
      <w:pgMar w:top="2376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C7F" w:rsidRDefault="00632C7F" w:rsidP="00650A99">
      <w:r>
        <w:separator/>
      </w:r>
    </w:p>
  </w:endnote>
  <w:endnote w:type="continuationSeparator" w:id="0">
    <w:p w:rsidR="00632C7F" w:rsidRDefault="00632C7F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Pr="00070555" w:rsidRDefault="002F54E8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63BC992" wp14:editId="6EB0E185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Pr="003205FF" w:rsidRDefault="00440EAB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="003205FF"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2561EF" w:rsidRPr="002561EF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7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="003205FF"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2561EF" w:rsidRPr="002561EF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es-ES"/>
                              </w:rPr>
                              <w:t>7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BC99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DD0981" w:rsidRPr="003205FF" w:rsidRDefault="00440EAB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="003205FF"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2561EF" w:rsidRPr="002561EF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7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="003205FF"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2561EF" w:rsidRPr="002561EF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es-ES"/>
                        </w:rPr>
                        <w:t>7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C89259" wp14:editId="33A30A85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Default="00DD09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C89259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DD0981" w:rsidRDefault="00DD0981"/>
                </w:txbxContent>
              </v:textbox>
            </v:shape>
          </w:pict>
        </mc:Fallback>
      </mc:AlternateContent>
    </w:r>
  </w:p>
  <w:p w:rsidR="00DD0981" w:rsidRPr="00070555" w:rsidRDefault="002F54E8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D74DE9" wp14:editId="2ED4A2F6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3205FF" w:rsidRPr="003205FF" w:rsidRDefault="002561EF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3205FF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DD0981" w:rsidRPr="000352F0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Web-</w:t>
                          </w:r>
                          <w:proofErr w:type="spellStart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Site</w:t>
                          </w:r>
                          <w:proofErr w:type="spellEnd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DD0981" w:rsidRPr="00A926CE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74DE9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3205FF" w:rsidRPr="003205FF" w:rsidRDefault="002561EF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3205FF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DD0981" w:rsidRPr="000352F0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Web-</w:t>
                    </w:r>
                    <w:proofErr w:type="spellStart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Site</w:t>
                    </w:r>
                    <w:proofErr w:type="spellEnd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DD0981" w:rsidRPr="00A926CE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C7F" w:rsidRDefault="00632C7F" w:rsidP="00650A99">
      <w:r>
        <w:separator/>
      </w:r>
    </w:p>
  </w:footnote>
  <w:footnote w:type="continuationSeparator" w:id="0">
    <w:p w:rsidR="00632C7F" w:rsidRDefault="00632C7F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Default="0026306A">
    <w:pPr>
      <w:pStyle w:val="Encabezado"/>
    </w:pPr>
    <w:r>
      <w:rPr>
        <w:noProof/>
      </w:rPr>
      <w:drawing>
        <wp:inline distT="0" distB="0" distL="0" distR="0">
          <wp:extent cx="1466850" cy="1057275"/>
          <wp:effectExtent l="0" t="0" r="0" b="9525"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6850" cy="1057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167CA"/>
    <w:rsid w:val="00025419"/>
    <w:rsid w:val="0003468E"/>
    <w:rsid w:val="000352F0"/>
    <w:rsid w:val="0004345F"/>
    <w:rsid w:val="00043E5E"/>
    <w:rsid w:val="00044B50"/>
    <w:rsid w:val="000467A1"/>
    <w:rsid w:val="000479B3"/>
    <w:rsid w:val="0005757F"/>
    <w:rsid w:val="00062A7C"/>
    <w:rsid w:val="00063566"/>
    <w:rsid w:val="00070555"/>
    <w:rsid w:val="0007281C"/>
    <w:rsid w:val="00073152"/>
    <w:rsid w:val="000732A3"/>
    <w:rsid w:val="00074463"/>
    <w:rsid w:val="00074EF9"/>
    <w:rsid w:val="00081AAB"/>
    <w:rsid w:val="00084FFA"/>
    <w:rsid w:val="000913E2"/>
    <w:rsid w:val="000A4FDA"/>
    <w:rsid w:val="000A5F72"/>
    <w:rsid w:val="000B2584"/>
    <w:rsid w:val="000C640F"/>
    <w:rsid w:val="000C699D"/>
    <w:rsid w:val="000D2062"/>
    <w:rsid w:val="000D715E"/>
    <w:rsid w:val="000E117C"/>
    <w:rsid w:val="000E1460"/>
    <w:rsid w:val="000E42DA"/>
    <w:rsid w:val="000E46FA"/>
    <w:rsid w:val="000F17B4"/>
    <w:rsid w:val="000F4FA1"/>
    <w:rsid w:val="001077DC"/>
    <w:rsid w:val="00124F58"/>
    <w:rsid w:val="0012564A"/>
    <w:rsid w:val="001301DF"/>
    <w:rsid w:val="00131E4E"/>
    <w:rsid w:val="00132C47"/>
    <w:rsid w:val="0013431C"/>
    <w:rsid w:val="001361E3"/>
    <w:rsid w:val="0014091C"/>
    <w:rsid w:val="0014199D"/>
    <w:rsid w:val="001531E5"/>
    <w:rsid w:val="00154430"/>
    <w:rsid w:val="001605A0"/>
    <w:rsid w:val="00160B31"/>
    <w:rsid w:val="001666F5"/>
    <w:rsid w:val="0017250D"/>
    <w:rsid w:val="001A5473"/>
    <w:rsid w:val="001B7E9B"/>
    <w:rsid w:val="001D30AE"/>
    <w:rsid w:val="001E0386"/>
    <w:rsid w:val="001E19D5"/>
    <w:rsid w:val="001E2459"/>
    <w:rsid w:val="001E6C74"/>
    <w:rsid w:val="001F3E0C"/>
    <w:rsid w:val="00203B8E"/>
    <w:rsid w:val="002049C5"/>
    <w:rsid w:val="00204E7B"/>
    <w:rsid w:val="00216974"/>
    <w:rsid w:val="00224140"/>
    <w:rsid w:val="00226503"/>
    <w:rsid w:val="002467D6"/>
    <w:rsid w:val="00250B2A"/>
    <w:rsid w:val="00254A87"/>
    <w:rsid w:val="002561EF"/>
    <w:rsid w:val="002608D4"/>
    <w:rsid w:val="0026306A"/>
    <w:rsid w:val="00267A53"/>
    <w:rsid w:val="002702FE"/>
    <w:rsid w:val="00273691"/>
    <w:rsid w:val="002751D2"/>
    <w:rsid w:val="002855A9"/>
    <w:rsid w:val="00293B22"/>
    <w:rsid w:val="00293DE7"/>
    <w:rsid w:val="0029454A"/>
    <w:rsid w:val="00294FB6"/>
    <w:rsid w:val="00297AD1"/>
    <w:rsid w:val="002A5283"/>
    <w:rsid w:val="002C24CB"/>
    <w:rsid w:val="002C31ED"/>
    <w:rsid w:val="002C4859"/>
    <w:rsid w:val="002D03DF"/>
    <w:rsid w:val="002D3A88"/>
    <w:rsid w:val="002D62AF"/>
    <w:rsid w:val="002E1436"/>
    <w:rsid w:val="002E494A"/>
    <w:rsid w:val="002E7240"/>
    <w:rsid w:val="002F54E8"/>
    <w:rsid w:val="003026A2"/>
    <w:rsid w:val="00303824"/>
    <w:rsid w:val="00306CC6"/>
    <w:rsid w:val="0031286D"/>
    <w:rsid w:val="003205FF"/>
    <w:rsid w:val="00321EC8"/>
    <w:rsid w:val="003305B2"/>
    <w:rsid w:val="00332DE4"/>
    <w:rsid w:val="00334968"/>
    <w:rsid w:val="00341B3E"/>
    <w:rsid w:val="00351487"/>
    <w:rsid w:val="00356B3F"/>
    <w:rsid w:val="00367CB1"/>
    <w:rsid w:val="00372F40"/>
    <w:rsid w:val="00375CC7"/>
    <w:rsid w:val="0039183D"/>
    <w:rsid w:val="00391C14"/>
    <w:rsid w:val="00397766"/>
    <w:rsid w:val="003A5822"/>
    <w:rsid w:val="003B11DD"/>
    <w:rsid w:val="003B72A8"/>
    <w:rsid w:val="003B7F8F"/>
    <w:rsid w:val="003C0774"/>
    <w:rsid w:val="003C5E57"/>
    <w:rsid w:val="003D499A"/>
    <w:rsid w:val="003D5BDF"/>
    <w:rsid w:val="003E25A9"/>
    <w:rsid w:val="003F5E08"/>
    <w:rsid w:val="00402C3D"/>
    <w:rsid w:val="004032C1"/>
    <w:rsid w:val="00407637"/>
    <w:rsid w:val="004120E2"/>
    <w:rsid w:val="00426FB0"/>
    <w:rsid w:val="00430D77"/>
    <w:rsid w:val="00440EAB"/>
    <w:rsid w:val="00442871"/>
    <w:rsid w:val="00452E65"/>
    <w:rsid w:val="00454B8B"/>
    <w:rsid w:val="00461871"/>
    <w:rsid w:val="00466271"/>
    <w:rsid w:val="0046718C"/>
    <w:rsid w:val="004674EF"/>
    <w:rsid w:val="00467508"/>
    <w:rsid w:val="00467595"/>
    <w:rsid w:val="00480FCA"/>
    <w:rsid w:val="0048203B"/>
    <w:rsid w:val="0049303C"/>
    <w:rsid w:val="00496461"/>
    <w:rsid w:val="004A00E3"/>
    <w:rsid w:val="004B3739"/>
    <w:rsid w:val="004C10FE"/>
    <w:rsid w:val="004C250E"/>
    <w:rsid w:val="004C27B6"/>
    <w:rsid w:val="004E17F3"/>
    <w:rsid w:val="004E3F57"/>
    <w:rsid w:val="004E585C"/>
    <w:rsid w:val="004F2F93"/>
    <w:rsid w:val="004F4C50"/>
    <w:rsid w:val="00506345"/>
    <w:rsid w:val="00516E68"/>
    <w:rsid w:val="00520FA4"/>
    <w:rsid w:val="0052650A"/>
    <w:rsid w:val="005279E8"/>
    <w:rsid w:val="00541CC9"/>
    <w:rsid w:val="00551920"/>
    <w:rsid w:val="00552A0E"/>
    <w:rsid w:val="00556949"/>
    <w:rsid w:val="00560B0C"/>
    <w:rsid w:val="00560CA3"/>
    <w:rsid w:val="00562B5C"/>
    <w:rsid w:val="00563F32"/>
    <w:rsid w:val="00585BCF"/>
    <w:rsid w:val="00585ED0"/>
    <w:rsid w:val="00590A7E"/>
    <w:rsid w:val="005916D2"/>
    <w:rsid w:val="00595ED2"/>
    <w:rsid w:val="005A36ED"/>
    <w:rsid w:val="005A4F01"/>
    <w:rsid w:val="005B6F12"/>
    <w:rsid w:val="005C163A"/>
    <w:rsid w:val="005C3743"/>
    <w:rsid w:val="005D533E"/>
    <w:rsid w:val="005D66B0"/>
    <w:rsid w:val="005E1DE9"/>
    <w:rsid w:val="005E5E78"/>
    <w:rsid w:val="005F356A"/>
    <w:rsid w:val="00603A0F"/>
    <w:rsid w:val="00603AAD"/>
    <w:rsid w:val="00605900"/>
    <w:rsid w:val="006068E9"/>
    <w:rsid w:val="006074FF"/>
    <w:rsid w:val="00617A76"/>
    <w:rsid w:val="00617E98"/>
    <w:rsid w:val="00630301"/>
    <w:rsid w:val="00632C7F"/>
    <w:rsid w:val="00644A95"/>
    <w:rsid w:val="00650A99"/>
    <w:rsid w:val="00652DA3"/>
    <w:rsid w:val="0065368E"/>
    <w:rsid w:val="00654211"/>
    <w:rsid w:val="00670D69"/>
    <w:rsid w:val="00672971"/>
    <w:rsid w:val="006756E8"/>
    <w:rsid w:val="0067758A"/>
    <w:rsid w:val="00682027"/>
    <w:rsid w:val="00687B70"/>
    <w:rsid w:val="00692975"/>
    <w:rsid w:val="006A5FCB"/>
    <w:rsid w:val="006B765E"/>
    <w:rsid w:val="006C051C"/>
    <w:rsid w:val="006D20E4"/>
    <w:rsid w:val="006D2B4A"/>
    <w:rsid w:val="006D3A83"/>
    <w:rsid w:val="00700DB0"/>
    <w:rsid w:val="0070120A"/>
    <w:rsid w:val="007062D9"/>
    <w:rsid w:val="00706545"/>
    <w:rsid w:val="00706FDE"/>
    <w:rsid w:val="00745063"/>
    <w:rsid w:val="00747180"/>
    <w:rsid w:val="00754337"/>
    <w:rsid w:val="00756241"/>
    <w:rsid w:val="00764ABD"/>
    <w:rsid w:val="00770276"/>
    <w:rsid w:val="00770ADC"/>
    <w:rsid w:val="00771928"/>
    <w:rsid w:val="00773282"/>
    <w:rsid w:val="00796DDA"/>
    <w:rsid w:val="007B4882"/>
    <w:rsid w:val="007B70F7"/>
    <w:rsid w:val="007B72D9"/>
    <w:rsid w:val="007C4270"/>
    <w:rsid w:val="007F7C04"/>
    <w:rsid w:val="00800EEF"/>
    <w:rsid w:val="008036D7"/>
    <w:rsid w:val="00814D3D"/>
    <w:rsid w:val="00815D0B"/>
    <w:rsid w:val="00820529"/>
    <w:rsid w:val="00821EDD"/>
    <w:rsid w:val="00822618"/>
    <w:rsid w:val="00827082"/>
    <w:rsid w:val="00832014"/>
    <w:rsid w:val="008326D2"/>
    <w:rsid w:val="00846AA8"/>
    <w:rsid w:val="00862966"/>
    <w:rsid w:val="00872CA8"/>
    <w:rsid w:val="008761A0"/>
    <w:rsid w:val="00897455"/>
    <w:rsid w:val="008A0D33"/>
    <w:rsid w:val="008A0D90"/>
    <w:rsid w:val="008A1B70"/>
    <w:rsid w:val="008A5D7F"/>
    <w:rsid w:val="008E2ADB"/>
    <w:rsid w:val="008E40B7"/>
    <w:rsid w:val="008E6515"/>
    <w:rsid w:val="008E6775"/>
    <w:rsid w:val="008F3AAB"/>
    <w:rsid w:val="008F6815"/>
    <w:rsid w:val="009058D0"/>
    <w:rsid w:val="00907660"/>
    <w:rsid w:val="00914565"/>
    <w:rsid w:val="00921D04"/>
    <w:rsid w:val="00926B45"/>
    <w:rsid w:val="009339AC"/>
    <w:rsid w:val="00934CE3"/>
    <w:rsid w:val="00942761"/>
    <w:rsid w:val="00942F02"/>
    <w:rsid w:val="00943029"/>
    <w:rsid w:val="009471EB"/>
    <w:rsid w:val="00957662"/>
    <w:rsid w:val="009606B3"/>
    <w:rsid w:val="00966EAD"/>
    <w:rsid w:val="0097554F"/>
    <w:rsid w:val="00990B51"/>
    <w:rsid w:val="00991F22"/>
    <w:rsid w:val="009C0615"/>
    <w:rsid w:val="009D16E7"/>
    <w:rsid w:val="009D7ECE"/>
    <w:rsid w:val="009F0EF0"/>
    <w:rsid w:val="009F3F48"/>
    <w:rsid w:val="00A04FA7"/>
    <w:rsid w:val="00A22617"/>
    <w:rsid w:val="00A32BD8"/>
    <w:rsid w:val="00A34FD5"/>
    <w:rsid w:val="00A43B37"/>
    <w:rsid w:val="00A44F64"/>
    <w:rsid w:val="00A47CA0"/>
    <w:rsid w:val="00A57CC2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22C9"/>
    <w:rsid w:val="00AA75DD"/>
    <w:rsid w:val="00AB37B1"/>
    <w:rsid w:val="00AC2B0C"/>
    <w:rsid w:val="00AC6DD0"/>
    <w:rsid w:val="00AD4CE9"/>
    <w:rsid w:val="00AD56DB"/>
    <w:rsid w:val="00AE45E6"/>
    <w:rsid w:val="00AF71D3"/>
    <w:rsid w:val="00B0252C"/>
    <w:rsid w:val="00B11E2E"/>
    <w:rsid w:val="00B179EC"/>
    <w:rsid w:val="00B17D06"/>
    <w:rsid w:val="00B21A6F"/>
    <w:rsid w:val="00B229DE"/>
    <w:rsid w:val="00B235FD"/>
    <w:rsid w:val="00B245DE"/>
    <w:rsid w:val="00B258AA"/>
    <w:rsid w:val="00B34497"/>
    <w:rsid w:val="00B430BE"/>
    <w:rsid w:val="00B5291B"/>
    <w:rsid w:val="00B6483D"/>
    <w:rsid w:val="00B65897"/>
    <w:rsid w:val="00B7024B"/>
    <w:rsid w:val="00B74F06"/>
    <w:rsid w:val="00B773B4"/>
    <w:rsid w:val="00B83BF2"/>
    <w:rsid w:val="00B8540B"/>
    <w:rsid w:val="00B97673"/>
    <w:rsid w:val="00BB2EB5"/>
    <w:rsid w:val="00BB3D88"/>
    <w:rsid w:val="00BC5D7D"/>
    <w:rsid w:val="00BD3082"/>
    <w:rsid w:val="00BE325A"/>
    <w:rsid w:val="00BE66C2"/>
    <w:rsid w:val="00C0423C"/>
    <w:rsid w:val="00C06948"/>
    <w:rsid w:val="00C20CA8"/>
    <w:rsid w:val="00C220D6"/>
    <w:rsid w:val="00C276A2"/>
    <w:rsid w:val="00C334D1"/>
    <w:rsid w:val="00C35423"/>
    <w:rsid w:val="00C36BE7"/>
    <w:rsid w:val="00C404DC"/>
    <w:rsid w:val="00C43064"/>
    <w:rsid w:val="00C54674"/>
    <w:rsid w:val="00C661A2"/>
    <w:rsid w:val="00C6685D"/>
    <w:rsid w:val="00C70370"/>
    <w:rsid w:val="00C81FC2"/>
    <w:rsid w:val="00C83948"/>
    <w:rsid w:val="00C86E28"/>
    <w:rsid w:val="00CA340D"/>
    <w:rsid w:val="00CB47E0"/>
    <w:rsid w:val="00CC0170"/>
    <w:rsid w:val="00CC38D6"/>
    <w:rsid w:val="00CC74DC"/>
    <w:rsid w:val="00CD5CCB"/>
    <w:rsid w:val="00CE3D10"/>
    <w:rsid w:val="00CE6524"/>
    <w:rsid w:val="00CF0493"/>
    <w:rsid w:val="00CF6745"/>
    <w:rsid w:val="00D42439"/>
    <w:rsid w:val="00D5783F"/>
    <w:rsid w:val="00D718F8"/>
    <w:rsid w:val="00D71C09"/>
    <w:rsid w:val="00D774B6"/>
    <w:rsid w:val="00D81436"/>
    <w:rsid w:val="00DA07E0"/>
    <w:rsid w:val="00DA76D0"/>
    <w:rsid w:val="00DB2278"/>
    <w:rsid w:val="00DD0981"/>
    <w:rsid w:val="00DD5CA9"/>
    <w:rsid w:val="00DE19DF"/>
    <w:rsid w:val="00DE2C2F"/>
    <w:rsid w:val="00E00EAB"/>
    <w:rsid w:val="00E0378C"/>
    <w:rsid w:val="00E06024"/>
    <w:rsid w:val="00E16EF6"/>
    <w:rsid w:val="00E35BA6"/>
    <w:rsid w:val="00E37DA4"/>
    <w:rsid w:val="00E438FA"/>
    <w:rsid w:val="00E44E11"/>
    <w:rsid w:val="00E562E9"/>
    <w:rsid w:val="00E745B9"/>
    <w:rsid w:val="00E80CF1"/>
    <w:rsid w:val="00E83BFF"/>
    <w:rsid w:val="00E87043"/>
    <w:rsid w:val="00E90250"/>
    <w:rsid w:val="00EC5776"/>
    <w:rsid w:val="00ED18CB"/>
    <w:rsid w:val="00F067EF"/>
    <w:rsid w:val="00F11CE8"/>
    <w:rsid w:val="00F152E9"/>
    <w:rsid w:val="00F413A2"/>
    <w:rsid w:val="00F57D5F"/>
    <w:rsid w:val="00F64422"/>
    <w:rsid w:val="00F74A4C"/>
    <w:rsid w:val="00FA4C6D"/>
    <w:rsid w:val="00FB1D70"/>
    <w:rsid w:val="00FC413F"/>
    <w:rsid w:val="00FC6743"/>
    <w:rsid w:val="00FD1869"/>
    <w:rsid w:val="00FD52EC"/>
    <w:rsid w:val="00FD7C62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160D3345-CB0B-4E37-8B77-EB2B137B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7</Pages>
  <Words>1255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13</cp:revision>
  <cp:lastPrinted>2016-12-25T21:34:00Z</cp:lastPrinted>
  <dcterms:created xsi:type="dcterms:W3CDTF">2015-09-24T21:09:00Z</dcterms:created>
  <dcterms:modified xsi:type="dcterms:W3CDTF">2016-12-25T21:34:00Z</dcterms:modified>
</cp:coreProperties>
</file>