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95324D" w:rsidP="00AD4CE9">
      <w:pPr>
        <w:spacing w:before="0" w:after="0" w:line="228" w:lineRule="auto"/>
        <w:rPr>
          <w:rFonts w:ascii="Tahoma" w:hAnsi="Tahoma" w:cs="Tahoma"/>
          <w:noProof/>
        </w:rPr>
      </w:pPr>
      <w:r w:rsidRPr="0095324D">
        <w:rPr>
          <w:noProof/>
        </w:rPr>
        <w:drawing>
          <wp:inline distT="0" distB="0" distL="0" distR="0" wp14:anchorId="47C35375" wp14:editId="2B659003">
            <wp:extent cx="5613400" cy="5098838"/>
            <wp:effectExtent l="0" t="0" r="635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09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95324D" w:rsidP="00AD4CE9">
      <w:pPr>
        <w:spacing w:before="0" w:after="0" w:line="228" w:lineRule="auto"/>
        <w:rPr>
          <w:rFonts w:ascii="Tahoma" w:hAnsi="Tahoma" w:cs="Tahoma"/>
        </w:rPr>
      </w:pPr>
      <w:r>
        <w:rPr>
          <w:noProof/>
        </w:rPr>
        <w:lastRenderedPageBreak/>
        <w:drawing>
          <wp:inline distT="0" distB="0" distL="0" distR="0" wp14:anchorId="2D43BF96" wp14:editId="44AC48C6">
            <wp:extent cx="4572000" cy="2733675"/>
            <wp:effectExtent l="0" t="0" r="19050" b="952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26DAC" w:rsidRDefault="00C26DAC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D434A" w:rsidRDefault="0095324D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El Ente Territorial de “Suarez Tolima”</w:t>
      </w:r>
      <w:r w:rsidR="00AE7455" w:rsidRPr="00C26DAC">
        <w:rPr>
          <w:rFonts w:ascii="Tahoma" w:hAnsi="Tahoma" w:cs="Tahoma"/>
          <w:color w:val="auto"/>
        </w:rPr>
        <w:t xml:space="preserve">, refleja en </w:t>
      </w:r>
      <w:r w:rsidR="003D434A">
        <w:rPr>
          <w:rFonts w:ascii="Tahoma" w:hAnsi="Tahoma" w:cs="Tahoma"/>
          <w:color w:val="auto"/>
        </w:rPr>
        <w:t xml:space="preserve">la estructura financiera del municipio unos </w:t>
      </w:r>
      <w:r w:rsidR="00AE7455" w:rsidRPr="00C26DAC">
        <w:rPr>
          <w:rFonts w:ascii="Tahoma" w:hAnsi="Tahoma" w:cs="Tahoma"/>
          <w:color w:val="auto"/>
        </w:rPr>
        <w:t xml:space="preserve"> Activos </w:t>
      </w:r>
      <w:r w:rsidR="003D434A">
        <w:rPr>
          <w:rFonts w:ascii="Tahoma" w:hAnsi="Tahoma" w:cs="Tahoma"/>
          <w:color w:val="auto"/>
        </w:rPr>
        <w:t xml:space="preserve">que ascendieron entre las vigencias 2014 ($12.029,2 </w:t>
      </w:r>
      <w:r w:rsidR="00DB7D77">
        <w:rPr>
          <w:rFonts w:ascii="Tahoma" w:hAnsi="Tahoma" w:cs="Tahoma"/>
          <w:color w:val="auto"/>
        </w:rPr>
        <w:t>miles de pesos</w:t>
      </w:r>
      <w:r w:rsidR="003D434A">
        <w:rPr>
          <w:rFonts w:ascii="Tahoma" w:hAnsi="Tahoma" w:cs="Tahoma"/>
          <w:color w:val="auto"/>
        </w:rPr>
        <w:t xml:space="preserve">)  y 2015 ($13.104, </w:t>
      </w:r>
      <w:r w:rsidR="00DB7D77">
        <w:rPr>
          <w:rFonts w:ascii="Tahoma" w:hAnsi="Tahoma" w:cs="Tahoma"/>
          <w:color w:val="auto"/>
        </w:rPr>
        <w:t>miles de pesos</w:t>
      </w:r>
      <w:r w:rsidR="003D434A">
        <w:rPr>
          <w:rFonts w:ascii="Tahoma" w:hAnsi="Tahoma" w:cs="Tahoma"/>
          <w:color w:val="auto"/>
        </w:rPr>
        <w:t xml:space="preserve">)  en $1.075,2 </w:t>
      </w:r>
      <w:r w:rsidR="00DB7D77">
        <w:rPr>
          <w:rFonts w:ascii="Tahoma" w:hAnsi="Tahoma" w:cs="Tahoma"/>
          <w:color w:val="auto"/>
        </w:rPr>
        <w:t xml:space="preserve"> miles de pesos</w:t>
      </w:r>
      <w:r w:rsidR="0030612E">
        <w:rPr>
          <w:rFonts w:ascii="Tahoma" w:hAnsi="Tahoma" w:cs="Tahoma"/>
          <w:color w:val="auto"/>
        </w:rPr>
        <w:t>,</w:t>
      </w:r>
      <w:r w:rsidR="00DB7D77">
        <w:rPr>
          <w:rFonts w:ascii="Tahoma" w:hAnsi="Tahoma" w:cs="Tahoma"/>
          <w:color w:val="auto"/>
        </w:rPr>
        <w:t xml:space="preserve"> </w:t>
      </w:r>
      <w:r w:rsidR="003D434A">
        <w:rPr>
          <w:rFonts w:ascii="Tahoma" w:hAnsi="Tahoma" w:cs="Tahoma"/>
          <w:color w:val="auto"/>
        </w:rPr>
        <w:t>cifra que representa un crecimiento del 8.94</w:t>
      </w:r>
      <w:r w:rsidR="00B86295">
        <w:rPr>
          <w:rFonts w:ascii="Tahoma" w:hAnsi="Tahoma" w:cs="Tahoma"/>
          <w:color w:val="auto"/>
        </w:rPr>
        <w:t>%.</w:t>
      </w:r>
    </w:p>
    <w:p w:rsidR="003D434A" w:rsidRDefault="003D434A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D434A" w:rsidRDefault="003D434A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Las cuentas del Activo Corriente para la vig</w:t>
      </w:r>
      <w:r w:rsidR="00DB7D77">
        <w:rPr>
          <w:rFonts w:ascii="Tahoma" w:hAnsi="Tahoma" w:cs="Tahoma"/>
          <w:color w:val="auto"/>
        </w:rPr>
        <w:t>encia 2015 ascendieron a $2.022 miles de pesos</w:t>
      </w:r>
      <w:r>
        <w:rPr>
          <w:rFonts w:ascii="Tahoma" w:hAnsi="Tahoma" w:cs="Tahoma"/>
          <w:color w:val="auto"/>
        </w:rPr>
        <w:t xml:space="preserve">, </w:t>
      </w:r>
      <w:r w:rsidR="00682488">
        <w:rPr>
          <w:rFonts w:ascii="Tahoma" w:hAnsi="Tahoma" w:cs="Tahoma"/>
          <w:color w:val="auto"/>
        </w:rPr>
        <w:t>conformando dicho grupo: Las</w:t>
      </w:r>
      <w:r>
        <w:rPr>
          <w:rFonts w:ascii="Tahoma" w:hAnsi="Tahoma" w:cs="Tahoma"/>
          <w:color w:val="auto"/>
        </w:rPr>
        <w:t xml:space="preserve"> cuentas de “Depósitos E  Instituciones Financieras, Rentas por Cobrar </w:t>
      </w:r>
      <w:r w:rsidR="00682488">
        <w:rPr>
          <w:rFonts w:ascii="Tahoma" w:hAnsi="Tahoma" w:cs="Tahoma"/>
          <w:color w:val="auto"/>
        </w:rPr>
        <w:t>y  “Deudores”, grupo de cuentas que presentaron</w:t>
      </w:r>
      <w:r w:rsidR="00E23180">
        <w:rPr>
          <w:rFonts w:ascii="Tahoma" w:hAnsi="Tahoma" w:cs="Tahoma"/>
          <w:color w:val="auto"/>
        </w:rPr>
        <w:t xml:space="preserve"> entre las vigencias 2014 y 2015</w:t>
      </w:r>
      <w:r w:rsidR="00682488">
        <w:rPr>
          <w:rFonts w:ascii="Tahoma" w:hAnsi="Tahoma" w:cs="Tahoma"/>
          <w:color w:val="auto"/>
        </w:rPr>
        <w:t xml:space="preserve"> un</w:t>
      </w:r>
      <w:r w:rsidR="00E23180">
        <w:rPr>
          <w:rFonts w:ascii="Tahoma" w:hAnsi="Tahoma" w:cs="Tahoma"/>
          <w:color w:val="auto"/>
        </w:rPr>
        <w:t>a disminución de $288,08 millones, que en términos porcentuales alcanzan un decrecimiento del 2.16%.</w:t>
      </w:r>
    </w:p>
    <w:p w:rsidR="00E23180" w:rsidRDefault="00E23180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682488" w:rsidRDefault="0068248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Los saldos </w:t>
      </w:r>
      <w:r w:rsidR="00B86295">
        <w:rPr>
          <w:rFonts w:ascii="Tahoma" w:hAnsi="Tahoma" w:cs="Tahoma"/>
          <w:color w:val="auto"/>
        </w:rPr>
        <w:t>de las cuentas de efectivo presentan la siguiente composición: El 33% para depósitos en cuentas corrientes y el 66.96% en cuentas de horro. El comportamiento entre las vigencias 2014 y 2015 es el siguiente: El saldo de la cuenta corriente, se incrementó entre el 2014 y el 2015 en 192,2 millones, alcanzando un crecimiento porcentual del 67.1 millones, finalizando la vigencia 2015 en $478,4 millones, mientras que el saldo de las cuentas de ahorro permaneció constante entre las dos vigencias, finalizando la misma en $969,5 millones.</w:t>
      </w:r>
    </w:p>
    <w:p w:rsidR="003D434A" w:rsidRDefault="003D434A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D434A" w:rsidRDefault="00B86295" w:rsidP="00D35097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La cuenta Rentas por Cobrar finalizó la vigencia 2015 con un saldo de $81.8 millones, </w:t>
      </w:r>
      <w:r w:rsidR="001C4B7C">
        <w:rPr>
          <w:rFonts w:ascii="Tahoma" w:hAnsi="Tahoma" w:cs="Tahoma"/>
          <w:color w:val="auto"/>
        </w:rPr>
        <w:t>cuantía que disminuyo entre las vigencias 2014 y 2015  el saldo en $78,8 millones que en términos porcentuales representa un decrecimiento porcentual del -49.05%.</w:t>
      </w:r>
    </w:p>
    <w:p w:rsidR="001C4B7C" w:rsidRDefault="001C4B7C" w:rsidP="00D35097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D35097" w:rsidRDefault="001C4B7C" w:rsidP="00D35097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lastRenderedPageBreak/>
        <w:t>Revisada la  estructura financiera del saldo de la cuenta “Rentas por Cobrar”, se tiene que la Rentas por Cobrar</w:t>
      </w:r>
      <w:r w:rsidR="00D35097">
        <w:rPr>
          <w:rFonts w:ascii="Tahoma" w:hAnsi="Tahoma" w:cs="Tahoma"/>
          <w:color w:val="auto"/>
        </w:rPr>
        <w:t xml:space="preserve"> </w:t>
      </w:r>
      <w:r>
        <w:rPr>
          <w:rFonts w:ascii="Tahoma" w:hAnsi="Tahoma" w:cs="Tahoma"/>
          <w:color w:val="auto"/>
        </w:rPr>
        <w:t xml:space="preserve">”Vigencia Actual” representan el 9.04% del Total del Saldo de la </w:t>
      </w:r>
      <w:r w:rsidR="00D35097">
        <w:rPr>
          <w:rFonts w:ascii="Tahoma" w:hAnsi="Tahoma" w:cs="Tahoma"/>
          <w:color w:val="auto"/>
        </w:rPr>
        <w:t>cuenta Rentas Por Cobrar, cuyo comportamiento presento entre las vigencias 2014 y 2015 una variación  positiva de $7.1 millones que en términos porcentuales alcanza el 2.581,8%, pasando de registrar en la vigencia 2014 un saldo de $276 millones al 2015 ($7.402 millones).</w:t>
      </w:r>
    </w:p>
    <w:p w:rsidR="00D35097" w:rsidRDefault="00D35097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0612E" w:rsidRDefault="001C4B7C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En cuanto a las Rentas por Cobrar “Vigencias Anteriores”, la cuenta representa 90.9% del Saldo Total de las Rentas por Cobrar. Comparado el comportamiento del saldo entre las vigencias 2014 y 2015, se tiene </w:t>
      </w:r>
      <w:r w:rsidR="00107C16">
        <w:rPr>
          <w:rFonts w:ascii="Tahoma" w:hAnsi="Tahoma" w:cs="Tahoma"/>
          <w:color w:val="auto"/>
        </w:rPr>
        <w:t xml:space="preserve">que entre las mismas disminuyo el saldo -85.9 millones, alcanzando a finalizar la vigencia 2015 </w:t>
      </w:r>
      <w:r w:rsidR="00D35097">
        <w:rPr>
          <w:rFonts w:ascii="Tahoma" w:hAnsi="Tahoma" w:cs="Tahoma"/>
          <w:color w:val="auto"/>
        </w:rPr>
        <w:t xml:space="preserve"> registro </w:t>
      </w:r>
      <w:r w:rsidR="00107C16">
        <w:rPr>
          <w:rFonts w:ascii="Tahoma" w:hAnsi="Tahoma" w:cs="Tahoma"/>
          <w:color w:val="auto"/>
        </w:rPr>
        <w:t>en cuantía de $74.4 millones.</w:t>
      </w:r>
      <w:r>
        <w:rPr>
          <w:rFonts w:ascii="Tahoma" w:hAnsi="Tahoma" w:cs="Tahoma"/>
          <w:color w:val="auto"/>
        </w:rPr>
        <w:t xml:space="preserve"> </w:t>
      </w:r>
    </w:p>
    <w:p w:rsidR="0030612E" w:rsidRDefault="0030612E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07C16" w:rsidRDefault="00107C1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La cuenta “Deudores” dentro de la estructura de los activos, representa el 3.75%, cuenta que finalizó el periodo fiscal en $492,4 millones, cuantía que  presentó una disminución del -209,2 millones representados en un decrecimiento porcentual del -29.82% entre las vigencias 2014 y 2015.</w:t>
      </w:r>
    </w:p>
    <w:p w:rsidR="002B6094" w:rsidRDefault="002B6094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07C16" w:rsidRDefault="00107C1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La cuenta Propiedad, Plata y Equipo, al finalizar la anualidad 2015, registró la suma de $2.077,9 millones,  con un</w:t>
      </w:r>
      <w:r w:rsidR="002B6094">
        <w:rPr>
          <w:rFonts w:ascii="Tahoma" w:hAnsi="Tahoma" w:cs="Tahoma"/>
          <w:color w:val="auto"/>
        </w:rPr>
        <w:t xml:space="preserve"> </w:t>
      </w:r>
      <w:r w:rsidR="00D35097">
        <w:rPr>
          <w:rFonts w:ascii="Tahoma" w:hAnsi="Tahoma" w:cs="Tahoma"/>
          <w:color w:val="auto"/>
        </w:rPr>
        <w:t>cre</w:t>
      </w:r>
      <w:r w:rsidR="002B6094">
        <w:rPr>
          <w:rFonts w:ascii="Tahoma" w:hAnsi="Tahoma" w:cs="Tahoma"/>
          <w:color w:val="auto"/>
        </w:rPr>
        <w:t>ci</w:t>
      </w:r>
      <w:r w:rsidR="00D35097">
        <w:rPr>
          <w:rFonts w:ascii="Tahoma" w:hAnsi="Tahoma" w:cs="Tahoma"/>
          <w:color w:val="auto"/>
        </w:rPr>
        <w:t>m</w:t>
      </w:r>
      <w:r w:rsidR="002B6094">
        <w:rPr>
          <w:rFonts w:ascii="Tahoma" w:hAnsi="Tahoma" w:cs="Tahoma"/>
          <w:color w:val="auto"/>
        </w:rPr>
        <w:t>i</w:t>
      </w:r>
      <w:r w:rsidR="00D35097">
        <w:rPr>
          <w:rFonts w:ascii="Tahoma" w:hAnsi="Tahoma" w:cs="Tahoma"/>
          <w:color w:val="auto"/>
        </w:rPr>
        <w:t xml:space="preserve">ento en su saldo respecto a la vigencia 2014 de </w:t>
      </w:r>
      <w:r>
        <w:rPr>
          <w:rFonts w:ascii="Tahoma" w:hAnsi="Tahoma" w:cs="Tahoma"/>
          <w:color w:val="auto"/>
        </w:rPr>
        <w:t xml:space="preserve"> $55.7 millones</w:t>
      </w:r>
      <w:r w:rsidR="002B6094">
        <w:rPr>
          <w:rFonts w:ascii="Tahoma" w:hAnsi="Tahoma" w:cs="Tahoma"/>
          <w:color w:val="auto"/>
        </w:rPr>
        <w:t xml:space="preserve"> cuantía que porcentualmente</w:t>
      </w:r>
      <w:r>
        <w:rPr>
          <w:rFonts w:ascii="Tahoma" w:hAnsi="Tahoma" w:cs="Tahoma"/>
          <w:color w:val="auto"/>
        </w:rPr>
        <w:t xml:space="preserve"> alcanza un crecimiento del 2.76%.</w:t>
      </w:r>
    </w:p>
    <w:p w:rsidR="00107C16" w:rsidRDefault="00107C1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56A0B" w:rsidRDefault="00107C1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Los “Bienes de Uso Público” </w:t>
      </w:r>
      <w:r w:rsidR="002B6094">
        <w:rPr>
          <w:rFonts w:ascii="Tahoma" w:hAnsi="Tahoma" w:cs="Tahoma"/>
          <w:color w:val="auto"/>
        </w:rPr>
        <w:t>finalizaron</w:t>
      </w:r>
      <w:r>
        <w:rPr>
          <w:rFonts w:ascii="Tahoma" w:hAnsi="Tahoma" w:cs="Tahoma"/>
          <w:color w:val="auto"/>
        </w:rPr>
        <w:t xml:space="preserve"> la anualidad</w:t>
      </w:r>
      <w:r w:rsidR="002B6094">
        <w:rPr>
          <w:rFonts w:ascii="Tahoma" w:hAnsi="Tahoma" w:cs="Tahoma"/>
          <w:color w:val="auto"/>
        </w:rPr>
        <w:t xml:space="preserve"> 2015</w:t>
      </w:r>
      <w:r>
        <w:rPr>
          <w:rFonts w:ascii="Tahoma" w:hAnsi="Tahoma" w:cs="Tahoma"/>
          <w:color w:val="auto"/>
        </w:rPr>
        <w:t xml:space="preserve"> en $0, después de haber registrado en la vigencia 2014 la suma de$31.1 millones.</w:t>
      </w:r>
    </w:p>
    <w:p w:rsidR="00156A0B" w:rsidRDefault="00156A0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2B6094" w:rsidRDefault="004F3BF7" w:rsidP="00E66A28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En cuanto a la cuenta “Otros Activos” </w:t>
      </w:r>
      <w:r w:rsidRPr="003E5E8B">
        <w:rPr>
          <w:rFonts w:ascii="Tahoma" w:hAnsi="Tahoma" w:cs="Tahoma"/>
          <w:color w:val="auto"/>
        </w:rPr>
        <w:t>al finalizar la vigencia 2015 registró c</w:t>
      </w:r>
      <w:r>
        <w:rPr>
          <w:rFonts w:ascii="Tahoma" w:hAnsi="Tahoma" w:cs="Tahoma"/>
          <w:color w:val="auto"/>
        </w:rPr>
        <w:t>omo saldo la suma  de ($8.701,7</w:t>
      </w:r>
      <w:r w:rsidRPr="003E5E8B">
        <w:rPr>
          <w:rFonts w:ascii="Tahoma" w:hAnsi="Tahoma" w:cs="Tahoma"/>
          <w:color w:val="auto"/>
        </w:rPr>
        <w:t xml:space="preserve"> millones)  cuantía que presento un </w:t>
      </w:r>
      <w:r>
        <w:rPr>
          <w:rFonts w:ascii="Tahoma" w:hAnsi="Tahoma" w:cs="Tahoma"/>
          <w:color w:val="auto"/>
        </w:rPr>
        <w:t>crecimiento porcentual del 8.81%% representados en ($704,3</w:t>
      </w:r>
      <w:r w:rsidR="002B6094">
        <w:rPr>
          <w:rFonts w:ascii="Tahoma" w:hAnsi="Tahoma" w:cs="Tahoma"/>
          <w:color w:val="auto"/>
        </w:rPr>
        <w:t>)</w:t>
      </w:r>
      <w:r>
        <w:rPr>
          <w:rFonts w:ascii="Tahoma" w:hAnsi="Tahoma" w:cs="Tahoma"/>
          <w:color w:val="auto"/>
        </w:rPr>
        <w:t xml:space="preserve"> </w:t>
      </w:r>
      <w:r w:rsidRPr="003E5E8B">
        <w:rPr>
          <w:rFonts w:ascii="Tahoma" w:hAnsi="Tahoma" w:cs="Tahoma"/>
          <w:color w:val="auto"/>
        </w:rPr>
        <w:t xml:space="preserve"> </w:t>
      </w:r>
      <w:r>
        <w:rPr>
          <w:rFonts w:ascii="Tahoma" w:hAnsi="Tahoma" w:cs="Tahoma"/>
          <w:color w:val="auto"/>
        </w:rPr>
        <w:t>millones</w:t>
      </w:r>
      <w:r w:rsidRPr="003E5E8B">
        <w:rPr>
          <w:rFonts w:ascii="Tahoma" w:hAnsi="Tahoma" w:cs="Tahoma"/>
          <w:color w:val="auto"/>
        </w:rPr>
        <w:t>.</w:t>
      </w:r>
    </w:p>
    <w:p w:rsidR="007D7CE3" w:rsidRDefault="002B6094" w:rsidP="002B6094">
      <w:p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El saldo del pasivo al finalizar la anualidad 2015, alcanzó la suma de $4.414,06 millones, saldo que fue incrementado en un 16.82%</w:t>
      </w:r>
      <w:r w:rsidR="00E66A28">
        <w:rPr>
          <w:rFonts w:ascii="Tahoma" w:hAnsi="Tahoma" w:cs="Tahoma"/>
          <w:color w:val="auto"/>
        </w:rPr>
        <w:t xml:space="preserve"> ($635,6 millones) </w:t>
      </w:r>
      <w:r>
        <w:rPr>
          <w:rFonts w:ascii="Tahoma" w:hAnsi="Tahoma" w:cs="Tahoma"/>
          <w:color w:val="auto"/>
        </w:rPr>
        <w:t xml:space="preserve">con respecto a la vigencia 2014 </w:t>
      </w:r>
      <w:r w:rsidR="00E66A28">
        <w:rPr>
          <w:rFonts w:ascii="Tahoma" w:hAnsi="Tahoma" w:cs="Tahoma"/>
          <w:color w:val="auto"/>
        </w:rPr>
        <w:t xml:space="preserve"> que finalizó </w:t>
      </w:r>
      <w:r>
        <w:rPr>
          <w:rFonts w:ascii="Tahoma" w:hAnsi="Tahoma" w:cs="Tahoma"/>
          <w:color w:val="auto"/>
        </w:rPr>
        <w:t xml:space="preserve"> en </w:t>
      </w:r>
      <w:r w:rsidR="00E66A28">
        <w:rPr>
          <w:rFonts w:ascii="Tahoma" w:hAnsi="Tahoma" w:cs="Tahoma"/>
          <w:color w:val="auto"/>
        </w:rPr>
        <w:t>($3.778,4 millones)</w:t>
      </w:r>
      <w:r w:rsidR="00156A0B">
        <w:rPr>
          <w:rFonts w:ascii="Tahoma" w:hAnsi="Tahoma" w:cs="Tahoma"/>
          <w:color w:val="auto"/>
        </w:rPr>
        <w:t>.</w:t>
      </w:r>
    </w:p>
    <w:p w:rsidR="00156A0B" w:rsidRPr="00E66A28" w:rsidRDefault="00156A0B" w:rsidP="00156A0B">
      <w:pPr>
        <w:jc w:val="both"/>
        <w:rPr>
          <w:rFonts w:eastAsia="Times New Roman"/>
          <w:color w:val="auto"/>
        </w:rPr>
      </w:pPr>
      <w:r>
        <w:rPr>
          <w:rFonts w:ascii="Tahoma" w:hAnsi="Tahoma" w:cs="Tahoma"/>
          <w:color w:val="auto"/>
        </w:rPr>
        <w:t xml:space="preserve">Al </w:t>
      </w:r>
      <w:r w:rsidRPr="00741A06">
        <w:rPr>
          <w:rFonts w:ascii="Tahoma" w:hAnsi="Tahoma" w:cs="Tahoma"/>
          <w:color w:val="auto"/>
        </w:rPr>
        <w:t>cierre del periodo fiscal 2015,</w:t>
      </w:r>
      <w:r>
        <w:rPr>
          <w:rFonts w:ascii="Tahoma" w:hAnsi="Tahoma" w:cs="Tahoma"/>
          <w:color w:val="auto"/>
        </w:rPr>
        <w:t xml:space="preserve"> es importante resaltar el movimiento que presento </w:t>
      </w:r>
      <w:r w:rsidRPr="00741A06">
        <w:rPr>
          <w:rFonts w:ascii="Tahoma" w:hAnsi="Tahoma" w:cs="Tahoma"/>
          <w:color w:val="auto"/>
        </w:rPr>
        <w:t xml:space="preserve"> la cuenta</w:t>
      </w:r>
      <w:r>
        <w:rPr>
          <w:rFonts w:ascii="Tahoma" w:hAnsi="Tahoma" w:cs="Tahoma"/>
          <w:color w:val="auto"/>
        </w:rPr>
        <w:t>”</w:t>
      </w:r>
      <w:r w:rsidRPr="007D7CE3">
        <w:rPr>
          <w:sz w:val="18"/>
          <w:szCs w:val="18"/>
        </w:rPr>
        <w:t xml:space="preserve"> </w:t>
      </w:r>
      <w:r w:rsidRPr="007D7CE3">
        <w:rPr>
          <w:rFonts w:eastAsia="Times New Roman"/>
          <w:color w:val="auto"/>
          <w:sz w:val="18"/>
          <w:szCs w:val="18"/>
        </w:rPr>
        <w:t>OPERACIONES DE FINANCIAMIENTO E INSTRUMENTOS DERIVADOS</w:t>
      </w:r>
      <w:r w:rsidRPr="007D7CE3">
        <w:rPr>
          <w:rFonts w:eastAsia="Times New Roman"/>
          <w:color w:val="auto"/>
        </w:rPr>
        <w:t xml:space="preserve">”, cuenta que </w:t>
      </w:r>
      <w:r>
        <w:rPr>
          <w:rFonts w:eastAsia="Times New Roman"/>
          <w:color w:val="auto"/>
        </w:rPr>
        <w:t>entre las vigencias 2014 y 2015 incremento su saldo en $378,3 millones alcanzando porcentualmente un incremento del 3.628,29%, los resultados antes indicados  permiten confirmar que después de tener el municipio en la vigencia 2014 una deuda cuantificada en $10.4 millones, finaliza la vigencia con un endeudamiento de $388,7 millones.</w:t>
      </w:r>
      <w:r w:rsidRPr="00741A06">
        <w:rPr>
          <w:rFonts w:ascii="Tahoma" w:hAnsi="Tahoma" w:cs="Tahoma"/>
          <w:color w:val="auto"/>
        </w:rPr>
        <w:t xml:space="preserve"> </w:t>
      </w:r>
    </w:p>
    <w:p w:rsidR="00156A0B" w:rsidRDefault="00156A0B" w:rsidP="00156A0B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56A0B" w:rsidRDefault="00156A0B" w:rsidP="002B6094">
      <w:pPr>
        <w:jc w:val="both"/>
        <w:rPr>
          <w:rFonts w:ascii="Tahoma" w:hAnsi="Tahoma" w:cs="Tahoma"/>
          <w:color w:val="auto"/>
        </w:rPr>
      </w:pPr>
    </w:p>
    <w:p w:rsidR="00156A0B" w:rsidRDefault="00156A0B" w:rsidP="002B6094">
      <w:pPr>
        <w:jc w:val="both"/>
        <w:rPr>
          <w:rFonts w:ascii="Tahoma" w:hAnsi="Tahoma" w:cs="Tahoma"/>
          <w:color w:val="auto"/>
        </w:rPr>
      </w:pPr>
    </w:p>
    <w:p w:rsidR="00156A0B" w:rsidRDefault="00156A0B" w:rsidP="002B6094">
      <w:pPr>
        <w:jc w:val="both"/>
        <w:rPr>
          <w:rFonts w:ascii="Tahoma" w:hAnsi="Tahoma" w:cs="Tahoma"/>
          <w:color w:val="auto"/>
        </w:rPr>
      </w:pPr>
    </w:p>
    <w:p w:rsidR="00B766AB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E66A28" w:rsidRDefault="00E66A28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E66A28" w:rsidRPr="00C26DAC" w:rsidRDefault="00E66A28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81F16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741A06">
        <w:rPr>
          <w:rFonts w:ascii="Tahoma" w:hAnsi="Tahoma" w:cs="Tahoma"/>
          <w:color w:val="auto"/>
        </w:rPr>
        <w:t>El Pasivo</w:t>
      </w:r>
      <w:r w:rsidR="00E66A28">
        <w:rPr>
          <w:rFonts w:ascii="Tahoma" w:hAnsi="Tahoma" w:cs="Tahoma"/>
          <w:color w:val="auto"/>
        </w:rPr>
        <w:t xml:space="preserve"> No </w:t>
      </w:r>
      <w:r w:rsidRPr="00741A06">
        <w:rPr>
          <w:rFonts w:ascii="Tahoma" w:hAnsi="Tahoma" w:cs="Tahoma"/>
          <w:color w:val="auto"/>
        </w:rPr>
        <w:t xml:space="preserve">Corriente representa el </w:t>
      </w:r>
      <w:r w:rsidR="00181F16">
        <w:rPr>
          <w:rFonts w:ascii="Tahoma" w:hAnsi="Tahoma" w:cs="Tahoma"/>
          <w:color w:val="auto"/>
        </w:rPr>
        <w:t>71.21</w:t>
      </w:r>
      <w:r w:rsidR="00741A06" w:rsidRPr="00741A06">
        <w:rPr>
          <w:rFonts w:ascii="Tahoma" w:hAnsi="Tahoma" w:cs="Tahoma"/>
          <w:color w:val="auto"/>
        </w:rPr>
        <w:t>%</w:t>
      </w:r>
      <w:r w:rsidRPr="00741A06">
        <w:rPr>
          <w:rFonts w:ascii="Tahoma" w:hAnsi="Tahoma" w:cs="Tahoma"/>
          <w:color w:val="auto"/>
        </w:rPr>
        <w:t xml:space="preserve"> del to</w:t>
      </w:r>
      <w:r w:rsidR="00C42CB6">
        <w:rPr>
          <w:rFonts w:ascii="Tahoma" w:hAnsi="Tahoma" w:cs="Tahoma"/>
          <w:color w:val="auto"/>
        </w:rPr>
        <w:t>tal del pasivo,  presentó</w:t>
      </w:r>
      <w:r w:rsidR="007D7CE3">
        <w:rPr>
          <w:rFonts w:ascii="Tahoma" w:hAnsi="Tahoma" w:cs="Tahoma"/>
          <w:color w:val="auto"/>
        </w:rPr>
        <w:t xml:space="preserve"> </w:t>
      </w:r>
      <w:r w:rsidR="00E66A28">
        <w:rPr>
          <w:rFonts w:ascii="Tahoma" w:hAnsi="Tahoma" w:cs="Tahoma"/>
          <w:color w:val="auto"/>
        </w:rPr>
        <w:t xml:space="preserve"> un saldo</w:t>
      </w:r>
      <w:r w:rsidR="008C50AC">
        <w:rPr>
          <w:rFonts w:ascii="Tahoma" w:hAnsi="Tahoma" w:cs="Tahoma"/>
          <w:color w:val="auto"/>
        </w:rPr>
        <w:t xml:space="preserve"> al cierre </w:t>
      </w:r>
      <w:r w:rsidR="00C42CB6">
        <w:rPr>
          <w:rFonts w:ascii="Tahoma" w:hAnsi="Tahoma" w:cs="Tahoma"/>
          <w:color w:val="auto"/>
        </w:rPr>
        <w:t>de la vigencia 2015 de</w:t>
      </w:r>
      <w:r w:rsidR="00181F16">
        <w:rPr>
          <w:rFonts w:ascii="Tahoma" w:hAnsi="Tahoma" w:cs="Tahoma"/>
          <w:color w:val="auto"/>
        </w:rPr>
        <w:t xml:space="preserve"> $3.143,6</w:t>
      </w:r>
      <w:r w:rsidR="00E66A28">
        <w:rPr>
          <w:rFonts w:ascii="Tahoma" w:hAnsi="Tahoma" w:cs="Tahoma"/>
          <w:color w:val="auto"/>
        </w:rPr>
        <w:t xml:space="preserve"> millones </w:t>
      </w:r>
      <w:r w:rsidR="00D05A58">
        <w:rPr>
          <w:rFonts w:ascii="Tahoma" w:hAnsi="Tahoma" w:cs="Tahoma"/>
          <w:color w:val="auto"/>
        </w:rPr>
        <w:t xml:space="preserve">con </w:t>
      </w:r>
      <w:r w:rsidR="00741A06" w:rsidRPr="00741A06">
        <w:rPr>
          <w:rFonts w:ascii="Tahoma" w:hAnsi="Tahoma" w:cs="Tahoma"/>
          <w:color w:val="auto"/>
        </w:rPr>
        <w:t>un</w:t>
      </w:r>
      <w:r w:rsidR="00181F16">
        <w:rPr>
          <w:rFonts w:ascii="Tahoma" w:hAnsi="Tahoma" w:cs="Tahoma"/>
          <w:color w:val="auto"/>
        </w:rPr>
        <w:t xml:space="preserve"> </w:t>
      </w:r>
      <w:r w:rsidR="00B10BDA">
        <w:rPr>
          <w:rFonts w:ascii="Tahoma" w:hAnsi="Tahoma" w:cs="Tahoma"/>
          <w:color w:val="auto"/>
        </w:rPr>
        <w:t xml:space="preserve"> incremento porcentual del </w:t>
      </w:r>
      <w:r w:rsidR="00181F16">
        <w:rPr>
          <w:rFonts w:ascii="Tahoma" w:hAnsi="Tahoma" w:cs="Tahoma"/>
          <w:color w:val="auto"/>
        </w:rPr>
        <w:t>1.60</w:t>
      </w:r>
      <w:r w:rsidR="008C50AC">
        <w:rPr>
          <w:rFonts w:ascii="Tahoma" w:hAnsi="Tahoma" w:cs="Tahoma"/>
          <w:color w:val="auto"/>
        </w:rPr>
        <w:t>% ($</w:t>
      </w:r>
      <w:r w:rsidR="00181F16">
        <w:rPr>
          <w:rFonts w:ascii="Tahoma" w:hAnsi="Tahoma" w:cs="Tahoma"/>
          <w:color w:val="auto"/>
        </w:rPr>
        <w:t>49.7</w:t>
      </w:r>
      <w:r w:rsidR="007D7CE3">
        <w:rPr>
          <w:rFonts w:ascii="Tahoma" w:hAnsi="Tahoma" w:cs="Tahoma"/>
          <w:color w:val="auto"/>
        </w:rPr>
        <w:t xml:space="preserve"> millones), </w:t>
      </w:r>
      <w:r w:rsidR="00C42CB6">
        <w:rPr>
          <w:rFonts w:ascii="Tahoma" w:hAnsi="Tahoma" w:cs="Tahoma"/>
          <w:color w:val="auto"/>
        </w:rPr>
        <w:t xml:space="preserve">frente al valor alcanzado </w:t>
      </w:r>
      <w:r w:rsidR="003650F9">
        <w:rPr>
          <w:rFonts w:ascii="Tahoma" w:hAnsi="Tahoma" w:cs="Tahoma"/>
          <w:color w:val="auto"/>
        </w:rPr>
        <w:t xml:space="preserve">en la </w:t>
      </w:r>
      <w:r w:rsidR="00C42CB6">
        <w:rPr>
          <w:rFonts w:ascii="Tahoma" w:hAnsi="Tahoma" w:cs="Tahoma"/>
          <w:color w:val="auto"/>
        </w:rPr>
        <w:t xml:space="preserve">vigencia 2014 </w:t>
      </w:r>
      <w:r w:rsidR="003650F9">
        <w:rPr>
          <w:rFonts w:ascii="Tahoma" w:hAnsi="Tahoma" w:cs="Tahoma"/>
          <w:color w:val="auto"/>
        </w:rPr>
        <w:t xml:space="preserve"> que ascendió a</w:t>
      </w:r>
      <w:r w:rsidR="00C42CB6">
        <w:rPr>
          <w:rFonts w:ascii="Tahoma" w:hAnsi="Tahoma" w:cs="Tahoma"/>
          <w:color w:val="auto"/>
        </w:rPr>
        <w:t xml:space="preserve"> ($</w:t>
      </w:r>
      <w:r w:rsidR="00181F16">
        <w:rPr>
          <w:rFonts w:ascii="Tahoma" w:hAnsi="Tahoma" w:cs="Tahoma"/>
          <w:color w:val="auto"/>
        </w:rPr>
        <w:t>3.093,8</w:t>
      </w:r>
      <w:r w:rsidR="00741A06" w:rsidRPr="00741A06">
        <w:rPr>
          <w:rFonts w:ascii="Tahoma" w:hAnsi="Tahoma" w:cs="Tahoma"/>
          <w:color w:val="auto"/>
        </w:rPr>
        <w:t xml:space="preserve"> millones)</w:t>
      </w:r>
      <w:r w:rsidR="003650F9">
        <w:rPr>
          <w:rFonts w:ascii="Tahoma" w:hAnsi="Tahoma" w:cs="Tahoma"/>
          <w:color w:val="auto"/>
        </w:rPr>
        <w:t>.</w:t>
      </w:r>
      <w:r w:rsidR="007D7CE3">
        <w:rPr>
          <w:rFonts w:ascii="Tahoma" w:hAnsi="Tahoma" w:cs="Tahoma"/>
          <w:color w:val="auto"/>
        </w:rPr>
        <w:t xml:space="preserve"> </w:t>
      </w:r>
    </w:p>
    <w:p w:rsidR="00181F16" w:rsidRDefault="00181F1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10EA7" w:rsidRPr="00181F16" w:rsidRDefault="00741A0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Dentro de este grupo es importante resaltar el comportamiento del saldo de las Cuentas por Pagar, quienes obtuvieron entre las vigencias 2014 y 2015 un</w:t>
      </w:r>
      <w:r w:rsidR="007C4693">
        <w:rPr>
          <w:rFonts w:ascii="Tahoma" w:hAnsi="Tahoma" w:cs="Tahoma"/>
          <w:color w:val="auto"/>
        </w:rPr>
        <w:t xml:space="preserve"> incremento porcentual del 30.78% ($207,4</w:t>
      </w:r>
      <w:r>
        <w:rPr>
          <w:rFonts w:ascii="Tahoma" w:hAnsi="Tahoma" w:cs="Tahoma"/>
          <w:color w:val="auto"/>
        </w:rPr>
        <w:t xml:space="preserve"> millones)</w:t>
      </w:r>
      <w:r w:rsidR="00066FA5">
        <w:rPr>
          <w:rFonts w:ascii="Tahoma" w:hAnsi="Tahoma" w:cs="Tahoma"/>
          <w:color w:val="auto"/>
        </w:rPr>
        <w:t>, alcanzando en la vig</w:t>
      </w:r>
      <w:r w:rsidR="007C4693">
        <w:rPr>
          <w:rFonts w:ascii="Tahoma" w:hAnsi="Tahoma" w:cs="Tahoma"/>
          <w:color w:val="auto"/>
        </w:rPr>
        <w:t>encia 2014 un saldo de ($674.1</w:t>
      </w:r>
      <w:r w:rsidR="00066FA5">
        <w:rPr>
          <w:rFonts w:ascii="Tahoma" w:hAnsi="Tahoma" w:cs="Tahoma"/>
          <w:color w:val="auto"/>
        </w:rPr>
        <w:t xml:space="preserve"> millones) y al cierre de la anua</w:t>
      </w:r>
      <w:r w:rsidR="007C4693">
        <w:rPr>
          <w:rFonts w:ascii="Tahoma" w:hAnsi="Tahoma" w:cs="Tahoma"/>
          <w:color w:val="auto"/>
        </w:rPr>
        <w:t>lidad 2015 un saldo de ($881,6</w:t>
      </w:r>
      <w:r w:rsidR="00066FA5">
        <w:rPr>
          <w:rFonts w:ascii="Tahoma" w:hAnsi="Tahoma" w:cs="Tahoma"/>
          <w:color w:val="auto"/>
        </w:rPr>
        <w:t xml:space="preserve"> millones).</w:t>
      </w:r>
    </w:p>
    <w:p w:rsidR="00181F16" w:rsidRDefault="00066FA5" w:rsidP="002C1455">
      <w:pPr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 xml:space="preserve">El Patrimonio del ente territorial </w:t>
      </w:r>
      <w:r w:rsidR="00010706">
        <w:rPr>
          <w:rFonts w:ascii="Tahoma" w:hAnsi="Tahoma" w:cs="Tahoma"/>
          <w:color w:val="auto"/>
        </w:rPr>
        <w:t xml:space="preserve">incremento el saldo de </w:t>
      </w:r>
      <w:r w:rsidR="00010706" w:rsidRPr="00010706">
        <w:rPr>
          <w:rFonts w:ascii="Tahoma" w:hAnsi="Tahoma" w:cs="Tahoma"/>
          <w:color w:val="auto"/>
        </w:rPr>
        <w:t>2014  ($</w:t>
      </w:r>
      <w:r w:rsidR="00010706" w:rsidRPr="00010706">
        <w:rPr>
          <w:rFonts w:eastAsia="Times New Roman"/>
          <w:color w:val="auto"/>
        </w:rPr>
        <w:t>8.250.8</w:t>
      </w:r>
      <w:r w:rsidR="002C1455">
        <w:rPr>
          <w:rFonts w:eastAsia="Times New Roman"/>
          <w:color w:val="auto"/>
        </w:rPr>
        <w:t xml:space="preserve"> millones</w:t>
      </w:r>
      <w:r w:rsidR="00010706" w:rsidRPr="00010706">
        <w:rPr>
          <w:rFonts w:eastAsia="Times New Roman"/>
          <w:color w:val="auto"/>
        </w:rPr>
        <w:t xml:space="preserve">) en </w:t>
      </w:r>
      <w:r w:rsidR="002C1455">
        <w:rPr>
          <w:rFonts w:eastAsia="Times New Roman"/>
          <w:color w:val="auto"/>
        </w:rPr>
        <w:t>$</w:t>
      </w:r>
      <w:r w:rsidR="00010706" w:rsidRPr="00010706">
        <w:rPr>
          <w:rFonts w:eastAsia="Times New Roman"/>
          <w:color w:val="auto"/>
        </w:rPr>
        <w:t>439,6 millones</w:t>
      </w:r>
      <w:r w:rsidR="00010706">
        <w:rPr>
          <w:rFonts w:eastAsia="Times New Roman"/>
          <w:color w:val="auto"/>
        </w:rPr>
        <w:t>, alcanzando de esta forma un incremento porcentual del 5.33%</w:t>
      </w:r>
      <w:r w:rsidR="002C1455">
        <w:rPr>
          <w:rFonts w:eastAsia="Times New Roman"/>
          <w:color w:val="auto"/>
        </w:rPr>
        <w:t xml:space="preserve"> para finalizar la vigencia 2015 en ($</w:t>
      </w:r>
      <w:r w:rsidR="002C1455">
        <w:rPr>
          <w:rFonts w:eastAsia="Times New Roman"/>
          <w:color w:val="auto"/>
          <w:sz w:val="18"/>
          <w:szCs w:val="18"/>
        </w:rPr>
        <w:t>8.690.5 millones )</w:t>
      </w:r>
      <w:r w:rsidR="00110EA7" w:rsidRPr="000A5A8D">
        <w:rPr>
          <w:rFonts w:ascii="Tahoma" w:hAnsi="Tahoma" w:cs="Tahoma"/>
          <w:color w:val="auto"/>
        </w:rPr>
        <w:t xml:space="preserve">, resultado que fue influido entre otros por </w:t>
      </w:r>
      <w:r w:rsidR="002C1455">
        <w:rPr>
          <w:rFonts w:ascii="Tahoma" w:hAnsi="Tahoma" w:cs="Tahoma"/>
          <w:color w:val="auto"/>
        </w:rPr>
        <w:t>los saldos con los cuales finalizó la cuenta “Hacienda Pública”</w:t>
      </w:r>
      <w:r w:rsidR="000A5A8D" w:rsidRPr="000A5A8D">
        <w:rPr>
          <w:rFonts w:ascii="Tahoma" w:hAnsi="Tahoma" w:cs="Tahoma"/>
          <w:color w:val="auto"/>
        </w:rPr>
        <w:t xml:space="preserve"> </w:t>
      </w:r>
      <w:r w:rsidR="002C1455">
        <w:rPr>
          <w:rFonts w:ascii="Tahoma" w:hAnsi="Tahoma" w:cs="Tahoma"/>
          <w:color w:val="auto"/>
        </w:rPr>
        <w:t>quien disminuyo su saldo en el decrecimi</w:t>
      </w:r>
      <w:r w:rsidR="00181F16">
        <w:rPr>
          <w:rFonts w:ascii="Tahoma" w:hAnsi="Tahoma" w:cs="Tahoma"/>
          <w:color w:val="auto"/>
        </w:rPr>
        <w:t>ento porcentual del patrimonio.</w:t>
      </w:r>
    </w:p>
    <w:p w:rsidR="00B24CA8" w:rsidRPr="002443C3" w:rsidRDefault="00B24CA8" w:rsidP="002C1455">
      <w:pPr>
        <w:jc w:val="both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10706" w:rsidRDefault="001542AB" w:rsidP="00010706">
      <w:pPr>
        <w:spacing w:before="0" w:after="0" w:line="228" w:lineRule="auto"/>
        <w:rPr>
          <w:rFonts w:ascii="Tahoma" w:hAnsi="Tahoma" w:cs="Tahoma"/>
          <w:b/>
        </w:rPr>
      </w:pPr>
      <w:r>
        <w:rPr>
          <w:noProof/>
        </w:rPr>
        <w:drawing>
          <wp:inline distT="0" distB="0" distL="0" distR="0" wp14:anchorId="119E86FD" wp14:editId="5AFDA66F">
            <wp:extent cx="3441700" cy="1917700"/>
            <wp:effectExtent l="0" t="0" r="25400" b="254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0706" w:rsidRDefault="00010706" w:rsidP="00010706">
      <w:pPr>
        <w:spacing w:before="0" w:after="0" w:line="228" w:lineRule="auto"/>
        <w:rPr>
          <w:rFonts w:ascii="Tahoma" w:hAnsi="Tahoma" w:cs="Tahoma"/>
          <w:b/>
        </w:rPr>
      </w:pPr>
    </w:p>
    <w:p w:rsidR="00010706" w:rsidRPr="00010706" w:rsidRDefault="001542AB" w:rsidP="00010706">
      <w:pPr>
        <w:spacing w:before="0" w:after="0" w:line="228" w:lineRule="auto"/>
        <w:rPr>
          <w:rFonts w:ascii="Tahoma" w:hAnsi="Tahoma" w:cs="Tahoma"/>
          <w:b/>
        </w:rPr>
      </w:pPr>
      <w:r w:rsidRPr="001542AB">
        <w:rPr>
          <w:noProof/>
        </w:rPr>
        <w:lastRenderedPageBreak/>
        <w:drawing>
          <wp:inline distT="0" distB="0" distL="0" distR="0" wp14:anchorId="2AC231D2" wp14:editId="76FE00DB">
            <wp:extent cx="5613400" cy="5700311"/>
            <wp:effectExtent l="0" t="0" r="635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70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0A5A8D" w:rsidRPr="001542AB" w:rsidRDefault="000A5A8D" w:rsidP="001542AB">
      <w:pPr>
        <w:spacing w:before="0" w:after="0" w:line="228" w:lineRule="auto"/>
        <w:jc w:val="both"/>
        <w:rPr>
          <w:rFonts w:ascii="Tahoma" w:hAnsi="Tahoma" w:cs="Tahoma"/>
        </w:rPr>
      </w:pPr>
    </w:p>
    <w:p w:rsidR="000971C2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>Los  resultados del Ejercicio financiero</w:t>
      </w:r>
      <w:r w:rsidR="001542AB">
        <w:rPr>
          <w:rFonts w:ascii="Tahoma" w:hAnsi="Tahoma" w:cs="Tahoma"/>
          <w:color w:val="auto"/>
        </w:rPr>
        <w:t xml:space="preserve"> del Municipio de Suarez Tolima a 31 de diciembre de 2015, refleja un incremento de $699.3 millones, con un incremento porcentual del 10.65% entre las vigencias 2014 y 2015, al pasar de obtener en la vigencia 2014 (</w:t>
      </w:r>
      <w:r w:rsidR="000E7163">
        <w:rPr>
          <w:rFonts w:ascii="Tahoma" w:hAnsi="Tahoma" w:cs="Tahoma"/>
          <w:color w:val="auto"/>
        </w:rPr>
        <w:t>$6.566 millones) a ($7.265,4 millones en la vigencia 2015.</w:t>
      </w:r>
      <w:r w:rsidR="001542AB">
        <w:rPr>
          <w:rFonts w:ascii="Tahoma" w:hAnsi="Tahoma" w:cs="Tahoma"/>
          <w:color w:val="auto"/>
        </w:rPr>
        <w:t xml:space="preserve">  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D70440">
        <w:rPr>
          <w:rFonts w:ascii="Tahoma" w:hAnsi="Tahoma" w:cs="Tahoma"/>
          <w:color w:val="auto"/>
        </w:rPr>
        <w:t>Dentro de la estructura de l</w:t>
      </w:r>
      <w:r w:rsidR="00D70440" w:rsidRPr="00D70440">
        <w:rPr>
          <w:rFonts w:ascii="Tahoma" w:hAnsi="Tahoma" w:cs="Tahoma"/>
          <w:color w:val="auto"/>
        </w:rPr>
        <w:t>o</w:t>
      </w:r>
      <w:r w:rsidR="00181F16">
        <w:rPr>
          <w:rFonts w:ascii="Tahoma" w:hAnsi="Tahoma" w:cs="Tahoma"/>
          <w:color w:val="auto"/>
        </w:rPr>
        <w:t>s ingresos se tiene que el 83.21</w:t>
      </w:r>
      <w:r w:rsidRPr="00D70440">
        <w:rPr>
          <w:rFonts w:ascii="Tahoma" w:hAnsi="Tahoma" w:cs="Tahoma"/>
          <w:color w:val="auto"/>
        </w:rPr>
        <w:t>% proviene</w:t>
      </w:r>
      <w:r w:rsidR="00100CEE">
        <w:rPr>
          <w:rFonts w:ascii="Tahoma" w:hAnsi="Tahoma" w:cs="Tahoma"/>
          <w:color w:val="auto"/>
        </w:rPr>
        <w:t>n de las Transferencias, el 10.20</w:t>
      </w:r>
      <w:r w:rsidRPr="00D70440">
        <w:rPr>
          <w:rFonts w:ascii="Tahoma" w:hAnsi="Tahoma" w:cs="Tahoma"/>
          <w:color w:val="auto"/>
        </w:rPr>
        <w:t>% d</w:t>
      </w:r>
      <w:r w:rsidR="00D70440" w:rsidRPr="00D70440">
        <w:rPr>
          <w:rFonts w:ascii="Tahoma" w:hAnsi="Tahoma" w:cs="Tahoma"/>
          <w:color w:val="auto"/>
        </w:rPr>
        <w:t xml:space="preserve">e los Ingresos Fiscales y el </w:t>
      </w:r>
      <w:r w:rsidR="00100CEE">
        <w:rPr>
          <w:rFonts w:ascii="Tahoma" w:hAnsi="Tahoma" w:cs="Tahoma"/>
          <w:color w:val="auto"/>
        </w:rPr>
        <w:t>0.01</w:t>
      </w:r>
      <w:r w:rsidRPr="00D70440">
        <w:rPr>
          <w:rFonts w:ascii="Tahoma" w:hAnsi="Tahoma" w:cs="Tahoma"/>
          <w:color w:val="auto"/>
        </w:rPr>
        <w:t>% de otros Ingresos</w:t>
      </w:r>
      <w:r w:rsidRPr="000A5A8D">
        <w:rPr>
          <w:rFonts w:ascii="Tahoma" w:hAnsi="Tahoma" w:cs="Tahoma"/>
          <w:color w:val="FF0000"/>
        </w:rPr>
        <w:t>.</w:t>
      </w: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00CEE" w:rsidRDefault="00100CEE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00CEE" w:rsidRPr="00100CEE" w:rsidRDefault="00100CEE" w:rsidP="00100CEE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100CEE">
        <w:rPr>
          <w:noProof/>
        </w:rPr>
        <w:drawing>
          <wp:inline distT="0" distB="0" distL="0" distR="0" wp14:anchorId="5C84D66D" wp14:editId="6F22EA5D">
            <wp:extent cx="5613400" cy="2699340"/>
            <wp:effectExtent l="0" t="0" r="6350" b="635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69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CEE" w:rsidRPr="000A5A8D" w:rsidRDefault="00100CEE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D70440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D70440">
        <w:rPr>
          <w:rFonts w:ascii="Tahoma" w:hAnsi="Tahoma" w:cs="Tahoma"/>
          <w:color w:val="auto"/>
        </w:rPr>
        <w:t>Los Ingresos Fiscales presentó un incremento de</w:t>
      </w:r>
      <w:r w:rsidR="00100CEE">
        <w:rPr>
          <w:rFonts w:ascii="Tahoma" w:hAnsi="Tahoma" w:cs="Tahoma"/>
          <w:color w:val="auto"/>
        </w:rPr>
        <w:t>l 24.37% ($145,3</w:t>
      </w:r>
      <w:r w:rsidRPr="00D70440">
        <w:rPr>
          <w:rFonts w:ascii="Tahoma" w:hAnsi="Tahoma" w:cs="Tahoma"/>
          <w:color w:val="auto"/>
        </w:rPr>
        <w:t xml:space="preserve"> millones) </w:t>
      </w:r>
      <w:r w:rsidR="00D70440" w:rsidRPr="00D70440">
        <w:rPr>
          <w:rFonts w:ascii="Tahoma" w:hAnsi="Tahoma" w:cs="Tahoma"/>
          <w:color w:val="auto"/>
        </w:rPr>
        <w:t>entre el 2014 al 2015</w:t>
      </w:r>
      <w:r w:rsidRPr="00D70440">
        <w:rPr>
          <w:rFonts w:ascii="Tahoma" w:hAnsi="Tahoma" w:cs="Tahoma"/>
          <w:color w:val="auto"/>
        </w:rPr>
        <w:t>, finalizando la v</w:t>
      </w:r>
      <w:r w:rsidR="00D70440" w:rsidRPr="00D70440">
        <w:rPr>
          <w:rFonts w:ascii="Tahoma" w:hAnsi="Tahoma" w:cs="Tahoma"/>
          <w:color w:val="auto"/>
        </w:rPr>
        <w:t>igenc</w:t>
      </w:r>
      <w:r w:rsidR="00100CEE">
        <w:rPr>
          <w:rFonts w:ascii="Tahoma" w:hAnsi="Tahoma" w:cs="Tahoma"/>
          <w:color w:val="auto"/>
        </w:rPr>
        <w:t>ia 2015 con un saldo de $741.7</w:t>
      </w:r>
      <w:r w:rsidRPr="00D70440">
        <w:rPr>
          <w:rFonts w:ascii="Tahoma" w:hAnsi="Tahoma" w:cs="Tahoma"/>
          <w:color w:val="auto"/>
        </w:rPr>
        <w:t xml:space="preserve"> millone</w:t>
      </w:r>
      <w:r w:rsidR="00D70440" w:rsidRPr="00D70440">
        <w:rPr>
          <w:rFonts w:ascii="Tahoma" w:hAnsi="Tahoma" w:cs="Tahoma"/>
          <w:color w:val="auto"/>
        </w:rPr>
        <w:t>s</w:t>
      </w:r>
      <w:r w:rsidR="00100CEE">
        <w:rPr>
          <w:rFonts w:ascii="Tahoma" w:hAnsi="Tahoma" w:cs="Tahoma"/>
          <w:color w:val="auto"/>
        </w:rPr>
        <w:t>.  Dentro de este grupo el 52.02</w:t>
      </w:r>
      <w:r w:rsidRPr="00D70440">
        <w:rPr>
          <w:rFonts w:ascii="Tahoma" w:hAnsi="Tahoma" w:cs="Tahoma"/>
          <w:color w:val="auto"/>
        </w:rPr>
        <w:t>% corresponde a Ingresos Tributarios cuyo comportamiento entre el 2014 y el 2015 reflejan un</w:t>
      </w:r>
      <w:r w:rsidR="00100CEE">
        <w:rPr>
          <w:rFonts w:ascii="Tahoma" w:hAnsi="Tahoma" w:cs="Tahoma"/>
          <w:color w:val="auto"/>
        </w:rPr>
        <w:t xml:space="preserve"> incremento  del 40.48</w:t>
      </w:r>
      <w:r w:rsidR="00D70440" w:rsidRPr="00D70440">
        <w:rPr>
          <w:rFonts w:ascii="Tahoma" w:hAnsi="Tahoma" w:cs="Tahoma"/>
          <w:color w:val="auto"/>
        </w:rPr>
        <w:t>%</w:t>
      </w:r>
      <w:r w:rsidRPr="00D70440">
        <w:rPr>
          <w:rFonts w:ascii="Tahoma" w:hAnsi="Tahoma" w:cs="Tahoma"/>
          <w:color w:val="auto"/>
        </w:rPr>
        <w:t xml:space="preserve"> </w:t>
      </w:r>
      <w:r w:rsidR="00100CEE">
        <w:rPr>
          <w:rFonts w:ascii="Tahoma" w:hAnsi="Tahoma" w:cs="Tahoma"/>
          <w:color w:val="auto"/>
        </w:rPr>
        <w:t>representados en 111,1</w:t>
      </w:r>
      <w:r w:rsidRPr="00D70440">
        <w:rPr>
          <w:rFonts w:ascii="Tahoma" w:hAnsi="Tahoma" w:cs="Tahoma"/>
          <w:color w:val="auto"/>
        </w:rPr>
        <w:t xml:space="preserve"> millones finalizando de esta manera </w:t>
      </w:r>
      <w:r w:rsidR="00100CEE">
        <w:rPr>
          <w:rFonts w:ascii="Tahoma" w:hAnsi="Tahoma" w:cs="Tahoma"/>
          <w:color w:val="auto"/>
        </w:rPr>
        <w:t>el 2015 con un saldo de $385,8 millones.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3578AE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>Los Ingresos No Tri</w:t>
      </w:r>
      <w:r w:rsidR="00D70440" w:rsidRPr="003578AE">
        <w:rPr>
          <w:rFonts w:ascii="Tahoma" w:hAnsi="Tahoma" w:cs="Tahoma"/>
          <w:color w:val="auto"/>
        </w:rPr>
        <w:t>b</w:t>
      </w:r>
      <w:r w:rsidR="00100CEE">
        <w:rPr>
          <w:rFonts w:ascii="Tahoma" w:hAnsi="Tahoma" w:cs="Tahoma"/>
          <w:color w:val="auto"/>
        </w:rPr>
        <w:t>utarios que representan el 47.97</w:t>
      </w:r>
      <w:r w:rsidRPr="003578AE">
        <w:rPr>
          <w:rFonts w:ascii="Tahoma" w:hAnsi="Tahoma" w:cs="Tahoma"/>
          <w:color w:val="auto"/>
        </w:rPr>
        <w:t xml:space="preserve">% de los Ingresos Fiscales finalizaron la vigencia 2015 </w:t>
      </w:r>
      <w:r w:rsidR="00100CEE">
        <w:rPr>
          <w:rFonts w:ascii="Tahoma" w:hAnsi="Tahoma" w:cs="Tahoma"/>
          <w:color w:val="auto"/>
        </w:rPr>
        <w:t>con un saldo de $355,8</w:t>
      </w:r>
      <w:r w:rsidR="00B57255" w:rsidRPr="003578AE">
        <w:rPr>
          <w:rFonts w:ascii="Tahoma" w:hAnsi="Tahoma" w:cs="Tahoma"/>
          <w:color w:val="auto"/>
        </w:rPr>
        <w:t xml:space="preserve"> millones presentando entre e</w:t>
      </w:r>
      <w:r w:rsidR="00D70440" w:rsidRPr="003578AE">
        <w:rPr>
          <w:rFonts w:ascii="Tahoma" w:hAnsi="Tahoma" w:cs="Tahoma"/>
          <w:color w:val="auto"/>
        </w:rPr>
        <w:t>l 2014 y</w:t>
      </w:r>
      <w:r w:rsidR="00100CEE">
        <w:rPr>
          <w:rFonts w:ascii="Tahoma" w:hAnsi="Tahoma" w:cs="Tahoma"/>
          <w:color w:val="auto"/>
        </w:rPr>
        <w:t xml:space="preserve"> el 2015 un incremento del 6.62</w:t>
      </w:r>
      <w:r w:rsidR="00D70440" w:rsidRPr="003578AE">
        <w:rPr>
          <w:rFonts w:ascii="Tahoma" w:hAnsi="Tahoma" w:cs="Tahoma"/>
          <w:color w:val="auto"/>
        </w:rPr>
        <w:t>% ($</w:t>
      </w:r>
      <w:r w:rsidR="00100CEE">
        <w:rPr>
          <w:rFonts w:ascii="Tahoma" w:hAnsi="Tahoma" w:cs="Tahoma"/>
          <w:color w:val="auto"/>
        </w:rPr>
        <w:t>22</w:t>
      </w:r>
      <w:r w:rsidR="003578AE" w:rsidRPr="003578AE">
        <w:rPr>
          <w:rFonts w:ascii="Tahoma" w:hAnsi="Tahoma" w:cs="Tahoma"/>
          <w:color w:val="auto"/>
        </w:rPr>
        <w:t xml:space="preserve"> millones).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3578AE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 xml:space="preserve">Las Transferencias, cuenta de mayor representatividad dentro de la </w:t>
      </w:r>
      <w:r w:rsidR="003578AE" w:rsidRPr="003578AE">
        <w:rPr>
          <w:rFonts w:ascii="Tahoma" w:hAnsi="Tahoma" w:cs="Tahoma"/>
          <w:color w:val="auto"/>
        </w:rPr>
        <w:t>e</w:t>
      </w:r>
      <w:r w:rsidR="00DD2F1E">
        <w:rPr>
          <w:rFonts w:ascii="Tahoma" w:hAnsi="Tahoma" w:cs="Tahoma"/>
          <w:color w:val="auto"/>
        </w:rPr>
        <w:t>structura de los ingresos (83.21</w:t>
      </w:r>
      <w:r w:rsidRPr="003578AE">
        <w:rPr>
          <w:rFonts w:ascii="Tahoma" w:hAnsi="Tahoma" w:cs="Tahoma"/>
          <w:color w:val="auto"/>
        </w:rPr>
        <w:t xml:space="preserve">%) presento entre el 2014 al 2015 </w:t>
      </w:r>
      <w:r w:rsidR="00DD2F1E">
        <w:rPr>
          <w:rFonts w:ascii="Tahoma" w:hAnsi="Tahoma" w:cs="Tahoma"/>
          <w:color w:val="auto"/>
        </w:rPr>
        <w:t>una variación positiva del 2.21% representado en $130.7</w:t>
      </w:r>
      <w:r w:rsidRPr="003578AE">
        <w:rPr>
          <w:rFonts w:ascii="Tahoma" w:hAnsi="Tahoma" w:cs="Tahoma"/>
          <w:color w:val="auto"/>
        </w:rPr>
        <w:t xml:space="preserve"> millones pasando de tener regist</w:t>
      </w:r>
      <w:r w:rsidR="003578AE" w:rsidRPr="003578AE">
        <w:rPr>
          <w:rFonts w:ascii="Tahoma" w:hAnsi="Tahoma" w:cs="Tahoma"/>
          <w:color w:val="auto"/>
        </w:rPr>
        <w:t>ros en</w:t>
      </w:r>
      <w:r w:rsidR="00DD2F1E">
        <w:rPr>
          <w:rFonts w:ascii="Tahoma" w:hAnsi="Tahoma" w:cs="Tahoma"/>
          <w:color w:val="auto"/>
        </w:rPr>
        <w:t xml:space="preserve"> el 2014 en cuantía de $5.915,4 millones a $6.046,2</w:t>
      </w:r>
      <w:r w:rsidRPr="003578AE">
        <w:rPr>
          <w:rFonts w:ascii="Tahoma" w:hAnsi="Tahoma" w:cs="Tahoma"/>
          <w:color w:val="auto"/>
        </w:rPr>
        <w:t xml:space="preserve"> millones en el 2015.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DD2F1E" w:rsidRPr="00DD2F1E" w:rsidRDefault="00B57255" w:rsidP="00DD2F1E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Los Ingresos provenientes del Sistema General de Participaciones, pre</w:t>
      </w:r>
      <w:r w:rsidR="00A742F1" w:rsidRPr="00A742F1">
        <w:rPr>
          <w:rFonts w:ascii="Tahoma" w:hAnsi="Tahoma" w:cs="Tahoma"/>
          <w:color w:val="auto"/>
        </w:rPr>
        <w:t>sentaron un in</w:t>
      </w:r>
      <w:r w:rsidR="00DD2F1E">
        <w:rPr>
          <w:rFonts w:ascii="Tahoma" w:hAnsi="Tahoma" w:cs="Tahoma"/>
          <w:color w:val="auto"/>
        </w:rPr>
        <w:t xml:space="preserve">cremento del 24.31% ($864.4 </w:t>
      </w:r>
      <w:r w:rsidRPr="00A742F1">
        <w:rPr>
          <w:rFonts w:ascii="Tahoma" w:hAnsi="Tahoma" w:cs="Tahoma"/>
          <w:color w:val="auto"/>
        </w:rPr>
        <w:t xml:space="preserve">millones) pasando </w:t>
      </w:r>
      <w:r w:rsidR="00A742F1" w:rsidRPr="00A742F1">
        <w:rPr>
          <w:rFonts w:ascii="Tahoma" w:hAnsi="Tahoma" w:cs="Tahoma"/>
          <w:color w:val="auto"/>
        </w:rPr>
        <w:t>d</w:t>
      </w:r>
      <w:r w:rsidR="00DD2F1E">
        <w:rPr>
          <w:rFonts w:ascii="Tahoma" w:hAnsi="Tahoma" w:cs="Tahoma"/>
          <w:color w:val="auto"/>
        </w:rPr>
        <w:t>e percibir en el 2014 ($3.555.7 millones) al 2015 ($4.420.1 millones)</w:t>
      </w:r>
    </w:p>
    <w:p w:rsidR="00DD2F1E" w:rsidRPr="00DD2F1E" w:rsidRDefault="00DD2F1E" w:rsidP="00DD2F1E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A742F1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Los sectores beneficiados con el incremento de las transferencias por concepto del Sistema G</w:t>
      </w:r>
      <w:r w:rsidR="00DD2F1E">
        <w:rPr>
          <w:rFonts w:ascii="Tahoma" w:hAnsi="Tahoma" w:cs="Tahoma"/>
          <w:color w:val="auto"/>
        </w:rPr>
        <w:t xml:space="preserve">eneral de Participaciones fue el sector de Propósito General  </w:t>
      </w:r>
      <w:r w:rsidRPr="00A742F1">
        <w:rPr>
          <w:rFonts w:ascii="Tahoma" w:hAnsi="Tahoma" w:cs="Tahoma"/>
          <w:color w:val="auto"/>
        </w:rPr>
        <w:t xml:space="preserve"> </w:t>
      </w:r>
      <w:r w:rsidR="00DD2F1E">
        <w:rPr>
          <w:rFonts w:ascii="Tahoma" w:hAnsi="Tahoma" w:cs="Tahoma"/>
          <w:color w:val="auto"/>
        </w:rPr>
        <w:t>con un saldo de $2.491,4</w:t>
      </w:r>
      <w:r w:rsidR="00321B22" w:rsidRPr="00A742F1">
        <w:rPr>
          <w:rFonts w:ascii="Tahoma" w:hAnsi="Tahoma" w:cs="Tahoma"/>
          <w:color w:val="auto"/>
        </w:rPr>
        <w:t xml:space="preserve"> millones incrementando con respect</w:t>
      </w:r>
      <w:r w:rsidR="00DD2F1E">
        <w:rPr>
          <w:rFonts w:ascii="Tahoma" w:hAnsi="Tahoma" w:cs="Tahoma"/>
          <w:color w:val="auto"/>
        </w:rPr>
        <w:t>o al 2014 su saldo en el 3.99</w:t>
      </w:r>
      <w:r w:rsidR="00A742F1" w:rsidRPr="00A742F1">
        <w:rPr>
          <w:rFonts w:ascii="Tahoma" w:hAnsi="Tahoma" w:cs="Tahoma"/>
          <w:color w:val="auto"/>
        </w:rPr>
        <w:t>%</w:t>
      </w:r>
      <w:r w:rsidR="00321B22" w:rsidRPr="00A742F1">
        <w:rPr>
          <w:rFonts w:ascii="Tahoma" w:hAnsi="Tahoma" w:cs="Tahoma"/>
          <w:color w:val="auto"/>
        </w:rPr>
        <w:t xml:space="preserve"> pues en el 2014  </w:t>
      </w:r>
      <w:r w:rsidR="00A742F1" w:rsidRPr="00A742F1">
        <w:rPr>
          <w:rFonts w:ascii="Tahoma" w:hAnsi="Tahoma" w:cs="Tahoma"/>
          <w:color w:val="auto"/>
        </w:rPr>
        <w:t>hab</w:t>
      </w:r>
      <w:r w:rsidR="00DD2F1E">
        <w:rPr>
          <w:rFonts w:ascii="Tahoma" w:hAnsi="Tahoma" w:cs="Tahoma"/>
          <w:color w:val="auto"/>
        </w:rPr>
        <w:t>ía alcanzado la suma de $2.395,9</w:t>
      </w:r>
      <w:r w:rsidR="00321B22" w:rsidRPr="00A742F1">
        <w:rPr>
          <w:rFonts w:ascii="Tahoma" w:hAnsi="Tahoma" w:cs="Tahoma"/>
          <w:color w:val="auto"/>
        </w:rPr>
        <w:t xml:space="preserve"> millones, mientras que al cier</w:t>
      </w:r>
      <w:r w:rsidR="00A742F1" w:rsidRPr="00A742F1">
        <w:rPr>
          <w:rFonts w:ascii="Tahoma" w:hAnsi="Tahoma" w:cs="Tahoma"/>
          <w:color w:val="auto"/>
        </w:rPr>
        <w:t>re del 2015</w:t>
      </w:r>
      <w:r w:rsidR="00DD2F1E">
        <w:rPr>
          <w:rFonts w:ascii="Tahoma" w:hAnsi="Tahoma" w:cs="Tahoma"/>
          <w:color w:val="auto"/>
        </w:rPr>
        <w:t xml:space="preserve"> finalizó en $2.491,4</w:t>
      </w:r>
      <w:r w:rsidR="00321B22" w:rsidRPr="00A742F1">
        <w:rPr>
          <w:rFonts w:ascii="Tahoma" w:hAnsi="Tahoma" w:cs="Tahoma"/>
          <w:color w:val="auto"/>
        </w:rPr>
        <w:t xml:space="preserve"> millones.</w:t>
      </w:r>
    </w:p>
    <w:p w:rsidR="00321B22" w:rsidRPr="000A5A8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21B22" w:rsidRPr="00A742F1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 xml:space="preserve">Para </w:t>
      </w:r>
      <w:r w:rsidR="00DD2F1E">
        <w:rPr>
          <w:rFonts w:ascii="Tahoma" w:hAnsi="Tahoma" w:cs="Tahoma"/>
          <w:color w:val="auto"/>
        </w:rPr>
        <w:t xml:space="preserve"> la participación de agua potable y saneamiento básico</w:t>
      </w:r>
      <w:r w:rsidRPr="00A742F1">
        <w:rPr>
          <w:rFonts w:ascii="Tahoma" w:hAnsi="Tahoma" w:cs="Tahoma"/>
          <w:color w:val="auto"/>
        </w:rPr>
        <w:t>, se asignaro</w:t>
      </w:r>
      <w:r w:rsidR="00A742F1" w:rsidRPr="00A742F1">
        <w:rPr>
          <w:rFonts w:ascii="Tahoma" w:hAnsi="Tahoma" w:cs="Tahoma"/>
          <w:color w:val="auto"/>
        </w:rPr>
        <w:t>n</w:t>
      </w:r>
      <w:r w:rsidR="00DD2F1E">
        <w:rPr>
          <w:rFonts w:ascii="Tahoma" w:hAnsi="Tahoma" w:cs="Tahoma"/>
          <w:color w:val="auto"/>
        </w:rPr>
        <w:t xml:space="preserve"> ingresos en cuantía de $349.8</w:t>
      </w:r>
      <w:r w:rsidR="00A742F1" w:rsidRPr="00A742F1">
        <w:rPr>
          <w:rFonts w:ascii="Tahoma" w:hAnsi="Tahoma" w:cs="Tahoma"/>
          <w:color w:val="auto"/>
        </w:rPr>
        <w:t xml:space="preserve"> </w:t>
      </w:r>
      <w:r w:rsidRPr="00A742F1">
        <w:rPr>
          <w:rFonts w:ascii="Tahoma" w:hAnsi="Tahoma" w:cs="Tahoma"/>
          <w:color w:val="auto"/>
        </w:rPr>
        <w:t xml:space="preserve">millones </w:t>
      </w:r>
      <w:r w:rsidR="00DD2F1E">
        <w:rPr>
          <w:rFonts w:ascii="Tahoma" w:hAnsi="Tahoma" w:cs="Tahoma"/>
          <w:color w:val="auto"/>
        </w:rPr>
        <w:t>que representan el  7.91</w:t>
      </w:r>
      <w:r w:rsidRPr="00A742F1">
        <w:rPr>
          <w:rFonts w:ascii="Tahoma" w:hAnsi="Tahoma" w:cs="Tahoma"/>
          <w:color w:val="auto"/>
        </w:rPr>
        <w:t>% del total de las transferencias del Sistema General de Participaciones, el saldo de la cuenta se incrementó c</w:t>
      </w:r>
      <w:r w:rsidR="00DD2F1E">
        <w:rPr>
          <w:rFonts w:ascii="Tahoma" w:hAnsi="Tahoma" w:cs="Tahoma"/>
          <w:color w:val="auto"/>
        </w:rPr>
        <w:t>on  respecto al 2014 en un 3.75% representados en $12.6</w:t>
      </w:r>
      <w:r w:rsidRPr="00A742F1">
        <w:rPr>
          <w:rFonts w:ascii="Tahoma" w:hAnsi="Tahoma" w:cs="Tahoma"/>
          <w:color w:val="auto"/>
        </w:rPr>
        <w:t xml:space="preserve"> millones, finalizando de esta ma</w:t>
      </w:r>
      <w:r w:rsidR="00DD2F1E">
        <w:rPr>
          <w:rFonts w:ascii="Tahoma" w:hAnsi="Tahoma" w:cs="Tahoma"/>
          <w:color w:val="auto"/>
        </w:rPr>
        <w:t>nera la anualidad de 2015 en $349,8</w:t>
      </w:r>
      <w:r w:rsidRPr="00A742F1">
        <w:rPr>
          <w:rFonts w:ascii="Tahoma" w:hAnsi="Tahoma" w:cs="Tahoma"/>
          <w:color w:val="auto"/>
        </w:rPr>
        <w:t xml:space="preserve"> millones.</w:t>
      </w:r>
    </w:p>
    <w:p w:rsidR="00DD2F1E" w:rsidRPr="00525DE2" w:rsidRDefault="00DD2F1E" w:rsidP="00525DE2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21B22" w:rsidRPr="000B18C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B18CD">
        <w:rPr>
          <w:rFonts w:ascii="Tahoma" w:hAnsi="Tahoma" w:cs="Tahoma"/>
          <w:color w:val="auto"/>
        </w:rPr>
        <w:t xml:space="preserve">Las transferencias por concepto de “Regalías” </w:t>
      </w:r>
      <w:r w:rsidR="00A742F1" w:rsidRPr="000B18CD">
        <w:rPr>
          <w:rFonts w:ascii="Tahoma" w:hAnsi="Tahoma" w:cs="Tahoma"/>
          <w:color w:val="auto"/>
        </w:rPr>
        <w:t xml:space="preserve">disminuyeron </w:t>
      </w:r>
      <w:r w:rsidRPr="000B18CD">
        <w:rPr>
          <w:rFonts w:ascii="Tahoma" w:hAnsi="Tahoma" w:cs="Tahoma"/>
          <w:color w:val="auto"/>
        </w:rPr>
        <w:t>el saldo entre las vigencias 2014 y 2015</w:t>
      </w:r>
      <w:r w:rsidR="00525DE2">
        <w:rPr>
          <w:rFonts w:ascii="Tahoma" w:hAnsi="Tahoma" w:cs="Tahoma"/>
          <w:color w:val="auto"/>
        </w:rPr>
        <w:t xml:space="preserve"> en $180,5</w:t>
      </w:r>
      <w:r w:rsidR="00A742F1" w:rsidRPr="000B18CD">
        <w:rPr>
          <w:rFonts w:ascii="Tahoma" w:hAnsi="Tahoma" w:cs="Tahoma"/>
          <w:color w:val="auto"/>
        </w:rPr>
        <w:t xml:space="preserve"> millones que representan </w:t>
      </w:r>
      <w:r w:rsidR="00525DE2">
        <w:rPr>
          <w:rFonts w:ascii="Tahoma" w:hAnsi="Tahoma" w:cs="Tahoma"/>
          <w:color w:val="auto"/>
        </w:rPr>
        <w:t>un decrecimiento del 80.26%  al pasar en el 2014 ($224,9millones) al 2015 ($44,4</w:t>
      </w:r>
      <w:r w:rsidRPr="000B18CD">
        <w:rPr>
          <w:rFonts w:ascii="Tahoma" w:hAnsi="Tahoma" w:cs="Tahoma"/>
          <w:color w:val="auto"/>
        </w:rPr>
        <w:t xml:space="preserve"> millones).</w:t>
      </w:r>
    </w:p>
    <w:p w:rsidR="00A742F1" w:rsidRDefault="00A742F1" w:rsidP="000B18CD">
      <w:pPr>
        <w:spacing w:before="0" w:after="0" w:line="228" w:lineRule="auto"/>
        <w:rPr>
          <w:rFonts w:ascii="Tahoma" w:hAnsi="Tahoma" w:cs="Tahoma"/>
          <w:b/>
          <w:color w:val="FF0000"/>
        </w:rPr>
      </w:pPr>
    </w:p>
    <w:p w:rsidR="00525DE2" w:rsidRDefault="00525DE2" w:rsidP="000B18CD">
      <w:pPr>
        <w:spacing w:before="0" w:after="0" w:line="228" w:lineRule="auto"/>
        <w:rPr>
          <w:rFonts w:ascii="Tahoma" w:hAnsi="Tahoma" w:cs="Tahoma"/>
          <w:b/>
          <w:color w:val="FF0000"/>
        </w:rPr>
      </w:pPr>
      <w:r w:rsidRPr="00525DE2">
        <w:rPr>
          <w:noProof/>
        </w:rPr>
        <w:drawing>
          <wp:inline distT="0" distB="0" distL="0" distR="0" wp14:anchorId="1231190E" wp14:editId="009ADAAC">
            <wp:extent cx="5613400" cy="2356810"/>
            <wp:effectExtent l="0" t="0" r="6350" b="571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35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DE2" w:rsidRPr="000B18CD" w:rsidRDefault="00525DE2" w:rsidP="000B18CD">
      <w:pPr>
        <w:spacing w:before="0" w:after="0" w:line="228" w:lineRule="auto"/>
        <w:rPr>
          <w:rFonts w:ascii="Tahoma" w:hAnsi="Tahoma" w:cs="Tahoma"/>
          <w:b/>
          <w:color w:val="FF0000"/>
        </w:rPr>
      </w:pPr>
    </w:p>
    <w:p w:rsidR="000B18CD" w:rsidRPr="000B18CD" w:rsidRDefault="00321B22" w:rsidP="000B18CD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0B18CD">
        <w:rPr>
          <w:rFonts w:ascii="Tahoma" w:hAnsi="Tahoma" w:cs="Tahoma"/>
          <w:color w:val="auto"/>
        </w:rPr>
        <w:t>El total de gasto</w:t>
      </w:r>
      <w:r w:rsidR="00525DE2">
        <w:rPr>
          <w:rFonts w:ascii="Tahoma" w:hAnsi="Tahoma" w:cs="Tahoma"/>
          <w:color w:val="auto"/>
        </w:rPr>
        <w:t>s en el 2015 fue de  ($7.265,4</w:t>
      </w:r>
      <w:r w:rsidR="000B18CD" w:rsidRPr="000B18CD">
        <w:rPr>
          <w:rFonts w:ascii="Tahoma" w:hAnsi="Tahoma" w:cs="Tahoma"/>
          <w:color w:val="auto"/>
        </w:rPr>
        <w:t xml:space="preserve"> millones), saldo que pr</w:t>
      </w:r>
      <w:r w:rsidR="00525DE2">
        <w:rPr>
          <w:rFonts w:ascii="Tahoma" w:hAnsi="Tahoma" w:cs="Tahoma"/>
          <w:color w:val="auto"/>
        </w:rPr>
        <w:t>esentó  un crecimiento del 10.65</w:t>
      </w:r>
      <w:r w:rsidR="000B18CD" w:rsidRPr="000B18CD">
        <w:rPr>
          <w:rFonts w:ascii="Tahoma" w:hAnsi="Tahoma" w:cs="Tahoma"/>
          <w:color w:val="auto"/>
        </w:rPr>
        <w:t xml:space="preserve"> </w:t>
      </w:r>
      <w:r w:rsidRPr="000B18CD">
        <w:rPr>
          <w:rFonts w:ascii="Tahoma" w:hAnsi="Tahoma" w:cs="Tahoma"/>
          <w:color w:val="auto"/>
        </w:rPr>
        <w:t>%</w:t>
      </w:r>
      <w:r w:rsidR="007D5C4B" w:rsidRPr="000B18CD">
        <w:rPr>
          <w:rFonts w:ascii="Tahoma" w:hAnsi="Tahoma" w:cs="Tahoma"/>
          <w:color w:val="auto"/>
        </w:rPr>
        <w:t xml:space="preserve"> frente a lo contabili</w:t>
      </w:r>
      <w:r w:rsidR="000B18CD" w:rsidRPr="000B18CD">
        <w:rPr>
          <w:rFonts w:ascii="Tahoma" w:hAnsi="Tahoma" w:cs="Tahoma"/>
          <w:color w:val="auto"/>
        </w:rPr>
        <w:t xml:space="preserve">zado en </w:t>
      </w:r>
      <w:r w:rsidR="00525DE2">
        <w:rPr>
          <w:rFonts w:ascii="Tahoma" w:hAnsi="Tahoma" w:cs="Tahoma"/>
          <w:color w:val="auto"/>
        </w:rPr>
        <w:t>el 2014 ($6.566</w:t>
      </w:r>
      <w:r w:rsidR="000B18CD" w:rsidRPr="000B18CD">
        <w:rPr>
          <w:rFonts w:ascii="Tahoma" w:hAnsi="Tahoma" w:cs="Tahoma"/>
          <w:color w:val="auto"/>
        </w:rPr>
        <w:t xml:space="preserve"> millones</w:t>
      </w:r>
      <w:r w:rsidR="007D5C4B" w:rsidRPr="000B18CD">
        <w:rPr>
          <w:rFonts w:ascii="Tahoma" w:hAnsi="Tahoma" w:cs="Tahoma"/>
          <w:color w:val="auto"/>
        </w:rPr>
        <w:t>).</w:t>
      </w:r>
    </w:p>
    <w:p w:rsidR="000B18CD" w:rsidRPr="000A5A8D" w:rsidRDefault="000B18CD" w:rsidP="00B24CA8">
      <w:pPr>
        <w:pStyle w:val="Prrafodelista"/>
        <w:spacing w:before="0" w:after="0" w:line="228" w:lineRule="auto"/>
        <w:rPr>
          <w:rFonts w:ascii="Tahoma" w:hAnsi="Tahoma" w:cs="Tahoma"/>
          <w:color w:val="FF0000"/>
        </w:rPr>
      </w:pPr>
    </w:p>
    <w:p w:rsidR="007D5C4B" w:rsidRPr="0081311A" w:rsidRDefault="0081311A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81311A">
        <w:rPr>
          <w:rFonts w:ascii="Tahoma" w:hAnsi="Tahoma" w:cs="Tahoma"/>
          <w:color w:val="auto"/>
        </w:rPr>
        <w:t xml:space="preserve">Durante la Vigencia 2015, el </w:t>
      </w:r>
      <w:r w:rsidR="007D5C4B" w:rsidRPr="0081311A">
        <w:rPr>
          <w:rFonts w:ascii="Tahoma" w:hAnsi="Tahoma" w:cs="Tahoma"/>
          <w:color w:val="auto"/>
        </w:rPr>
        <w:t xml:space="preserve">“Gasto Público Social” </w:t>
      </w:r>
      <w:r w:rsidRPr="0081311A">
        <w:rPr>
          <w:rFonts w:ascii="Tahoma" w:hAnsi="Tahoma" w:cs="Tahoma"/>
          <w:color w:val="auto"/>
        </w:rPr>
        <w:t xml:space="preserve">percibió </w:t>
      </w:r>
      <w:r w:rsidR="00525DE2">
        <w:rPr>
          <w:rFonts w:ascii="Tahoma" w:hAnsi="Tahoma" w:cs="Tahoma"/>
          <w:color w:val="auto"/>
        </w:rPr>
        <w:t xml:space="preserve">ingresos en cuantía de $1.981 millones, </w:t>
      </w:r>
      <w:r w:rsidR="007D5C4B" w:rsidRPr="0081311A">
        <w:rPr>
          <w:rFonts w:ascii="Tahoma" w:hAnsi="Tahoma" w:cs="Tahoma"/>
          <w:color w:val="auto"/>
        </w:rPr>
        <w:t>cuenta que p</w:t>
      </w:r>
      <w:r w:rsidR="000B18CD" w:rsidRPr="0081311A">
        <w:rPr>
          <w:rFonts w:ascii="Tahoma" w:hAnsi="Tahoma" w:cs="Tahoma"/>
          <w:color w:val="auto"/>
        </w:rPr>
        <w:t>resentó un</w:t>
      </w:r>
      <w:r w:rsidR="00525DE2">
        <w:rPr>
          <w:rFonts w:ascii="Tahoma" w:hAnsi="Tahoma" w:cs="Tahoma"/>
          <w:color w:val="auto"/>
        </w:rPr>
        <w:t>a disminución del 0.43% ($8.6</w:t>
      </w:r>
      <w:r w:rsidR="007D5C4B" w:rsidRPr="0081311A">
        <w:rPr>
          <w:rFonts w:ascii="Tahoma" w:hAnsi="Tahoma" w:cs="Tahoma"/>
          <w:color w:val="auto"/>
        </w:rPr>
        <w:t xml:space="preserve"> millones) del 2014 al 2015, finalizando </w:t>
      </w:r>
      <w:r w:rsidR="000B18CD" w:rsidRPr="0081311A">
        <w:rPr>
          <w:rFonts w:ascii="Tahoma" w:hAnsi="Tahoma" w:cs="Tahoma"/>
          <w:color w:val="auto"/>
        </w:rPr>
        <w:t>esta última vigencia en $</w:t>
      </w:r>
      <w:r w:rsidR="00525DE2">
        <w:rPr>
          <w:rFonts w:ascii="Tahoma" w:hAnsi="Tahoma" w:cs="Tahoma"/>
          <w:color w:val="auto"/>
        </w:rPr>
        <w:t>1.981</w:t>
      </w:r>
      <w:r w:rsidR="007D5C4B" w:rsidRPr="0081311A">
        <w:rPr>
          <w:rFonts w:ascii="Tahoma" w:hAnsi="Tahoma" w:cs="Tahoma"/>
          <w:color w:val="auto"/>
        </w:rPr>
        <w:t xml:space="preserve"> millones.</w:t>
      </w:r>
    </w:p>
    <w:p w:rsidR="000B18CD" w:rsidRPr="0081311A" w:rsidRDefault="000B18CD" w:rsidP="000B18C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E2908" w:rsidRPr="0081311A" w:rsidRDefault="007D5C4B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81311A">
        <w:rPr>
          <w:rFonts w:ascii="Tahoma" w:hAnsi="Tahoma" w:cs="Tahoma"/>
          <w:color w:val="auto"/>
        </w:rPr>
        <w:t>Dentro de este grupo, el sector que más demando gastos fue el sector de Salud</w:t>
      </w:r>
      <w:r w:rsidR="003E2908" w:rsidRPr="0081311A">
        <w:rPr>
          <w:rFonts w:ascii="Tahoma" w:hAnsi="Tahoma" w:cs="Tahoma"/>
          <w:color w:val="auto"/>
        </w:rPr>
        <w:t>, cuya cuenta</w:t>
      </w:r>
      <w:r w:rsidR="0081311A" w:rsidRPr="0081311A">
        <w:rPr>
          <w:rFonts w:ascii="Tahoma" w:hAnsi="Tahoma" w:cs="Tahoma"/>
          <w:color w:val="auto"/>
        </w:rPr>
        <w:t xml:space="preserve"> </w:t>
      </w:r>
      <w:r w:rsidR="00A32274">
        <w:rPr>
          <w:rFonts w:ascii="Tahoma" w:hAnsi="Tahoma" w:cs="Tahoma"/>
          <w:color w:val="auto"/>
        </w:rPr>
        <w:t>finalizó en el 2015 en $1.615,2</w:t>
      </w:r>
      <w:r w:rsidR="0081311A" w:rsidRPr="0081311A">
        <w:rPr>
          <w:rFonts w:ascii="Tahoma" w:hAnsi="Tahoma" w:cs="Tahoma"/>
          <w:color w:val="auto"/>
        </w:rPr>
        <w:t xml:space="preserve"> </w:t>
      </w:r>
      <w:r w:rsidR="003E2908" w:rsidRPr="0081311A">
        <w:rPr>
          <w:rFonts w:ascii="Tahoma" w:hAnsi="Tahoma" w:cs="Tahoma"/>
          <w:color w:val="auto"/>
        </w:rPr>
        <w:t>millo</w:t>
      </w:r>
      <w:r w:rsidR="0081311A" w:rsidRPr="0081311A">
        <w:rPr>
          <w:rFonts w:ascii="Tahoma" w:hAnsi="Tahoma" w:cs="Tahoma"/>
          <w:color w:val="auto"/>
        </w:rPr>
        <w:t>nes con un incremento del</w:t>
      </w:r>
      <w:r w:rsidR="00A32274">
        <w:rPr>
          <w:rFonts w:ascii="Tahoma" w:hAnsi="Tahoma" w:cs="Tahoma"/>
          <w:color w:val="auto"/>
        </w:rPr>
        <w:t xml:space="preserve"> 5.73% </w:t>
      </w:r>
      <w:r w:rsidR="0081311A" w:rsidRPr="0081311A">
        <w:rPr>
          <w:rFonts w:ascii="Tahoma" w:hAnsi="Tahoma" w:cs="Tahoma"/>
          <w:color w:val="auto"/>
        </w:rPr>
        <w:t>entre las dos anual</w:t>
      </w:r>
      <w:r w:rsidR="00A32274">
        <w:rPr>
          <w:rFonts w:ascii="Tahoma" w:hAnsi="Tahoma" w:cs="Tahoma"/>
          <w:color w:val="auto"/>
        </w:rPr>
        <w:t>idades representados en $87.5</w:t>
      </w:r>
      <w:r w:rsidR="0081311A" w:rsidRPr="0081311A">
        <w:rPr>
          <w:rFonts w:ascii="Tahoma" w:hAnsi="Tahoma" w:cs="Tahoma"/>
          <w:color w:val="auto"/>
        </w:rPr>
        <w:t xml:space="preserve"> millones.</w:t>
      </w:r>
    </w:p>
    <w:p w:rsidR="003E2908" w:rsidRPr="000A5A8D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E2908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>Sobresale de igual forma el incremento porcentual de</w:t>
      </w:r>
      <w:r w:rsidR="00A32274">
        <w:rPr>
          <w:rFonts w:ascii="Tahoma" w:hAnsi="Tahoma" w:cs="Tahoma"/>
          <w:color w:val="auto"/>
        </w:rPr>
        <w:t>l 113.62</w:t>
      </w:r>
      <w:r w:rsidR="0081311A" w:rsidRPr="00C6199A">
        <w:rPr>
          <w:rFonts w:ascii="Tahoma" w:hAnsi="Tahoma" w:cs="Tahoma"/>
          <w:color w:val="auto"/>
        </w:rPr>
        <w:t xml:space="preserve">% destinados para el sector de educación </w:t>
      </w:r>
      <w:r w:rsidRPr="00C6199A">
        <w:rPr>
          <w:rFonts w:ascii="Tahoma" w:hAnsi="Tahoma" w:cs="Tahoma"/>
          <w:color w:val="auto"/>
        </w:rPr>
        <w:t xml:space="preserve"> al </w:t>
      </w:r>
      <w:r w:rsidR="00A32274">
        <w:rPr>
          <w:rFonts w:ascii="Tahoma" w:hAnsi="Tahoma" w:cs="Tahoma"/>
          <w:color w:val="auto"/>
        </w:rPr>
        <w:t>pasar en el 2014 ($58.2 millones) a ($124.4</w:t>
      </w:r>
      <w:r w:rsidR="0081311A" w:rsidRPr="00C6199A">
        <w:rPr>
          <w:rFonts w:ascii="Tahoma" w:hAnsi="Tahoma" w:cs="Tahoma"/>
          <w:color w:val="auto"/>
        </w:rPr>
        <w:t xml:space="preserve"> </w:t>
      </w:r>
      <w:r w:rsidRPr="00C6199A">
        <w:rPr>
          <w:rFonts w:ascii="Tahoma" w:hAnsi="Tahoma" w:cs="Tahoma"/>
          <w:color w:val="auto"/>
        </w:rPr>
        <w:t>millones) en el 2015.</w:t>
      </w:r>
    </w:p>
    <w:p w:rsidR="003E2908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7D5C4B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 xml:space="preserve">La Cuenta Otros Gastos, finalizó la </w:t>
      </w:r>
      <w:r w:rsidR="00C6199A" w:rsidRPr="00C6199A">
        <w:rPr>
          <w:rFonts w:ascii="Tahoma" w:hAnsi="Tahoma" w:cs="Tahoma"/>
          <w:color w:val="auto"/>
        </w:rPr>
        <w:t>an</w:t>
      </w:r>
      <w:r w:rsidR="00A32274">
        <w:rPr>
          <w:rFonts w:ascii="Tahoma" w:hAnsi="Tahoma" w:cs="Tahoma"/>
          <w:color w:val="auto"/>
        </w:rPr>
        <w:t>ualidad con un saldo de $247,47</w:t>
      </w:r>
      <w:r w:rsidRPr="00C6199A">
        <w:rPr>
          <w:rFonts w:ascii="Tahoma" w:hAnsi="Tahoma" w:cs="Tahoma"/>
          <w:color w:val="auto"/>
        </w:rPr>
        <w:t xml:space="preserve"> mi</w:t>
      </w:r>
      <w:r w:rsidR="00C6199A" w:rsidRPr="00C6199A">
        <w:rPr>
          <w:rFonts w:ascii="Tahoma" w:hAnsi="Tahoma" w:cs="Tahoma"/>
          <w:color w:val="auto"/>
        </w:rPr>
        <w:t>llones incrementand</w:t>
      </w:r>
      <w:r w:rsidR="00A32274">
        <w:rPr>
          <w:rFonts w:ascii="Tahoma" w:hAnsi="Tahoma" w:cs="Tahoma"/>
          <w:color w:val="auto"/>
        </w:rPr>
        <w:t>o en un 93.31</w:t>
      </w:r>
      <w:r w:rsidR="00C6199A" w:rsidRPr="00C6199A">
        <w:rPr>
          <w:rFonts w:ascii="Tahoma" w:hAnsi="Tahoma" w:cs="Tahoma"/>
          <w:color w:val="auto"/>
        </w:rPr>
        <w:t>%</w:t>
      </w:r>
      <w:r w:rsidRPr="00C6199A">
        <w:rPr>
          <w:rFonts w:ascii="Tahoma" w:hAnsi="Tahoma" w:cs="Tahoma"/>
          <w:color w:val="auto"/>
        </w:rPr>
        <w:t xml:space="preserve"> el saldo percibido en el 2014 que alc</w:t>
      </w:r>
      <w:r w:rsidR="00753C57">
        <w:rPr>
          <w:rFonts w:ascii="Tahoma" w:hAnsi="Tahoma" w:cs="Tahoma"/>
          <w:color w:val="auto"/>
        </w:rPr>
        <w:t>anzo la suma de ($127.9</w:t>
      </w:r>
      <w:r w:rsidR="00C6199A" w:rsidRPr="00C6199A">
        <w:rPr>
          <w:rFonts w:ascii="Tahoma" w:hAnsi="Tahoma" w:cs="Tahoma"/>
          <w:color w:val="auto"/>
        </w:rPr>
        <w:t xml:space="preserve"> millones</w:t>
      </w:r>
      <w:r w:rsidRPr="00C6199A">
        <w:rPr>
          <w:rFonts w:ascii="Tahoma" w:hAnsi="Tahoma" w:cs="Tahoma"/>
          <w:color w:val="auto"/>
        </w:rPr>
        <w:t>).</w:t>
      </w:r>
      <w:r w:rsidR="007D5C4B" w:rsidRPr="00C6199A">
        <w:rPr>
          <w:rFonts w:ascii="Tahoma" w:hAnsi="Tahoma" w:cs="Tahoma"/>
          <w:color w:val="auto"/>
        </w:rPr>
        <w:t xml:space="preserve"> </w:t>
      </w:r>
    </w:p>
    <w:p w:rsidR="0081311A" w:rsidRPr="000A5A8D" w:rsidRDefault="0081311A" w:rsidP="00AD4CE9">
      <w:pPr>
        <w:spacing w:before="0" w:after="0" w:line="228" w:lineRule="auto"/>
        <w:rPr>
          <w:rFonts w:ascii="Tahoma" w:hAnsi="Tahoma" w:cs="Tahoma"/>
          <w:color w:val="FF0000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753C57">
        <w:rPr>
          <w:rFonts w:ascii="Tahoma" w:hAnsi="Tahoma" w:cs="Tahoma"/>
        </w:rPr>
        <w:t>1.447.996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753C57">
        <w:rPr>
          <w:rFonts w:ascii="Tahoma" w:hAnsi="Tahoma" w:cs="Tahoma"/>
        </w:rPr>
        <w:t xml:space="preserve">    81.841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753C57">
        <w:rPr>
          <w:rFonts w:ascii="Tahoma" w:hAnsi="Tahoma" w:cs="Tahoma"/>
        </w:rPr>
        <w:t xml:space="preserve">    492.479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53C57">
        <w:rPr>
          <w:rFonts w:ascii="Tahoma" w:hAnsi="Tahoma" w:cs="Tahoma"/>
        </w:rPr>
        <w:t xml:space="preserve"> $2.022.316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C6199A">
        <w:rPr>
          <w:rFonts w:ascii="Tahoma" w:hAnsi="Tahoma" w:cs="Tahoma"/>
        </w:rPr>
        <w:t xml:space="preserve">  </w:t>
      </w:r>
      <w:r w:rsidR="00753C57">
        <w:rPr>
          <w:rFonts w:ascii="Tahoma" w:hAnsi="Tahoma" w:cs="Tahoma"/>
        </w:rPr>
        <w:t>388.749</w:t>
      </w:r>
      <w:r w:rsidR="00C6199A">
        <w:rPr>
          <w:rFonts w:ascii="Tahoma" w:hAnsi="Tahoma" w:cs="Tahoma"/>
        </w:rPr>
        <w:t xml:space="preserve"> 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753C57">
        <w:rPr>
          <w:rFonts w:ascii="Tahoma" w:hAnsi="Tahoma" w:cs="Tahoma"/>
        </w:rPr>
        <w:t>entas por Pagar</w:t>
      </w:r>
      <w:r w:rsidR="00753C57">
        <w:rPr>
          <w:rFonts w:ascii="Tahoma" w:hAnsi="Tahoma" w:cs="Tahoma"/>
        </w:rPr>
        <w:tab/>
      </w:r>
      <w:r w:rsidR="00753C57">
        <w:rPr>
          <w:rFonts w:ascii="Tahoma" w:hAnsi="Tahoma" w:cs="Tahoma"/>
        </w:rPr>
        <w:tab/>
      </w:r>
      <w:r w:rsidR="00753C57">
        <w:rPr>
          <w:rFonts w:ascii="Tahoma" w:hAnsi="Tahoma" w:cs="Tahoma"/>
        </w:rPr>
        <w:tab/>
      </w:r>
      <w:r w:rsidR="00753C57">
        <w:rPr>
          <w:rFonts w:ascii="Tahoma" w:hAnsi="Tahoma" w:cs="Tahoma"/>
        </w:rPr>
        <w:tab/>
        <w:t xml:space="preserve">      881.648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753C57">
        <w:rPr>
          <w:rFonts w:ascii="Tahoma" w:hAnsi="Tahoma" w:cs="Tahoma"/>
        </w:rPr>
        <w:t>131.530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753C57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$1.401.927</w:t>
      </w:r>
    </w:p>
    <w:p w:rsidR="00C6199A" w:rsidRDefault="00C6199A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753C57">
        <w:rPr>
          <w:rFonts w:ascii="Tahoma" w:hAnsi="Tahoma" w:cs="Tahoma"/>
        </w:rPr>
        <w:t xml:space="preserve"> Corriente  $2.022.316/ $1.401.927=1.44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753C57">
        <w:rPr>
          <w:rFonts w:ascii="Tahoma" w:hAnsi="Tahoma" w:cs="Tahoma"/>
        </w:rPr>
        <w:t>tración Municipal de Suarez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753C57">
        <w:rPr>
          <w:rFonts w:ascii="Tahoma" w:hAnsi="Tahoma" w:cs="Tahoma"/>
        </w:rPr>
        <w:t>1.44</w:t>
      </w:r>
      <w:r w:rsidR="008D6CE6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753C57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$2.022.316- $1.401.927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620.389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53C5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$1.401.927</w:t>
      </w:r>
      <w:r w:rsidR="00310359">
        <w:rPr>
          <w:rFonts w:ascii="Tahoma" w:hAnsi="Tahoma" w:cs="Tahoma"/>
        </w:rPr>
        <w:t>/</w:t>
      </w:r>
      <w:r w:rsidR="00C6199A">
        <w:rPr>
          <w:rFonts w:ascii="Tahoma" w:hAnsi="Tahoma" w:cs="Tahoma"/>
        </w:rPr>
        <w:t>$</w:t>
      </w:r>
      <w:r>
        <w:rPr>
          <w:rFonts w:ascii="Tahoma" w:hAnsi="Tahoma" w:cs="Tahoma"/>
        </w:rPr>
        <w:t>13.104.581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10.69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753C57">
        <w:rPr>
          <w:rFonts w:ascii="Tahoma" w:hAnsi="Tahoma" w:cs="Tahoma"/>
        </w:rPr>
        <w:t>10.69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753C57">
        <w:rPr>
          <w:rFonts w:ascii="Tahoma" w:hAnsi="Tahoma" w:cs="Tahoma"/>
        </w:rPr>
        <w:t>8.690.518 /13.104.581</w:t>
      </w:r>
      <w:r w:rsidR="005A36ED" w:rsidRPr="00AD4CE9">
        <w:rPr>
          <w:rFonts w:ascii="Tahoma" w:hAnsi="Tahoma" w:cs="Tahoma"/>
        </w:rPr>
        <w:t xml:space="preserve"> </w:t>
      </w:r>
      <w:r w:rsidR="00753C57">
        <w:rPr>
          <w:rFonts w:ascii="Tahoma" w:hAnsi="Tahoma" w:cs="Tahoma"/>
        </w:rPr>
        <w:t>=66.31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753C57">
        <w:rPr>
          <w:rFonts w:ascii="Tahoma" w:hAnsi="Tahoma" w:cs="Tahoma"/>
        </w:rPr>
        <w:t>que el 66.31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753C5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municipio de Suarez</w:t>
      </w:r>
      <w:r w:rsidR="00C54464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acuerdo con su Balance General terminado en la fecha, se observa que s</w:t>
      </w:r>
      <w:r w:rsidR="00D130D4">
        <w:rPr>
          <w:rFonts w:ascii="Tahoma" w:hAnsi="Tahoma" w:cs="Tahoma"/>
        </w:rPr>
        <w:t>us activos totales crecieron 8.94% en la suma de  $1.075,2</w:t>
      </w:r>
      <w:r w:rsidR="008D6CE6">
        <w:rPr>
          <w:rFonts w:ascii="Tahoma" w:hAnsi="Tahoma" w:cs="Tahoma"/>
        </w:rPr>
        <w:t xml:space="preserve"> millones</w:t>
      </w:r>
      <w:r w:rsidR="00402C3D">
        <w:rPr>
          <w:rFonts w:ascii="Tahoma" w:hAnsi="Tahoma" w:cs="Tahoma"/>
        </w:rPr>
        <w:t>, con relación al periodo 2014</w:t>
      </w:r>
      <w:r w:rsidR="00C54464">
        <w:rPr>
          <w:rFonts w:ascii="Tahoma" w:hAnsi="Tahoma" w:cs="Tahoma"/>
        </w:rPr>
        <w:t>, reflejado</w:t>
      </w:r>
      <w:r w:rsidR="00D130D4">
        <w:rPr>
          <w:rFonts w:ascii="Tahoma" w:hAnsi="Tahoma" w:cs="Tahoma"/>
        </w:rPr>
        <w:t>s en la cuenta Depósitos e Instituciones Financieras.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54464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 patrimonio </w:t>
      </w:r>
      <w:r w:rsidR="00D130D4">
        <w:rPr>
          <w:rFonts w:ascii="Tahoma" w:hAnsi="Tahoma" w:cs="Tahoma"/>
        </w:rPr>
        <w:t xml:space="preserve"> se incrementó en un 5.33%,</w:t>
      </w:r>
      <w:r w:rsidR="006756E8" w:rsidRPr="00AD4CE9">
        <w:rPr>
          <w:rFonts w:ascii="Tahoma" w:hAnsi="Tahoma" w:cs="Tahoma"/>
        </w:rPr>
        <w:t xml:space="preserve">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 w:rsidR="008D6CE6">
        <w:rPr>
          <w:rFonts w:ascii="Tahoma" w:hAnsi="Tahoma" w:cs="Tahoma"/>
        </w:rPr>
        <w:t xml:space="preserve">el mismo </w:t>
      </w:r>
      <w:r w:rsidR="00D130D4">
        <w:rPr>
          <w:rFonts w:ascii="Tahoma" w:hAnsi="Tahoma" w:cs="Tahoma"/>
        </w:rPr>
        <w:t>crecimiento de $439.6 millones.</w:t>
      </w:r>
    </w:p>
    <w:p w:rsidR="00C54464" w:rsidRPr="00AD4CE9" w:rsidRDefault="00C5446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D130D4">
        <w:rPr>
          <w:rFonts w:ascii="Tahoma" w:hAnsi="Tahoma" w:cs="Tahoma"/>
        </w:rPr>
        <w:t>a en el 33.68</w:t>
      </w:r>
      <w:r w:rsidR="004622C7">
        <w:rPr>
          <w:rFonts w:ascii="Tahoma" w:hAnsi="Tahoma" w:cs="Tahoma"/>
        </w:rPr>
        <w:t>% los</w:t>
      </w:r>
      <w:r w:rsidR="00D130D4">
        <w:rPr>
          <w:rFonts w:ascii="Tahoma" w:hAnsi="Tahoma" w:cs="Tahoma"/>
        </w:rPr>
        <w:t xml:space="preserve"> pasivos y el 66.31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municipio presenta un nivel de endeudamiento</w:t>
      </w:r>
      <w:r w:rsidR="00D130D4">
        <w:rPr>
          <w:rFonts w:ascii="Tahoma" w:hAnsi="Tahoma" w:cs="Tahoma"/>
        </w:rPr>
        <w:t xml:space="preserve"> del 10.69%</w:t>
      </w:r>
      <w:r w:rsidRPr="00AD4CE9">
        <w:rPr>
          <w:rFonts w:ascii="Tahoma" w:hAnsi="Tahoma" w:cs="Tahoma"/>
        </w:rPr>
        <w:t xml:space="preserve"> r</w:t>
      </w:r>
      <w:r w:rsidR="00D130D4">
        <w:rPr>
          <w:rFonts w:ascii="Tahoma" w:hAnsi="Tahoma" w:cs="Tahoma"/>
        </w:rPr>
        <w:t>especto al total de sus activos.</w:t>
      </w:r>
      <w:r w:rsidRPr="00AD4CE9">
        <w:rPr>
          <w:rFonts w:ascii="Tahoma" w:hAnsi="Tahoma" w:cs="Tahoma"/>
        </w:rPr>
        <w:t xml:space="preserve"> 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D130D4">
        <w:rPr>
          <w:rFonts w:ascii="Tahoma" w:hAnsi="Tahoma" w:cs="Tahoma"/>
        </w:rPr>
        <w:t>io de Suarez</w:t>
      </w:r>
      <w:r w:rsidR="00FE7F94">
        <w:rPr>
          <w:rFonts w:ascii="Tahoma" w:hAnsi="Tahoma" w:cs="Tahoma"/>
        </w:rPr>
        <w:t xml:space="preserve">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975703">
      <w:headerReference w:type="default" r:id="rId14"/>
      <w:footerReference w:type="default" r:id="rId15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D6" w:rsidRDefault="004D5CD6" w:rsidP="00650A99">
      <w:r>
        <w:separator/>
      </w:r>
    </w:p>
  </w:endnote>
  <w:endnote w:type="continuationSeparator" w:id="0">
    <w:p w:rsidR="004D5CD6" w:rsidRDefault="004D5CD6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655944" wp14:editId="1E1E65D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7515B8" w:rsidRPr="007515B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3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7515B8">
                            <w:fldChar w:fldCharType="begin"/>
                          </w:r>
                          <w:r w:rsidR="007515B8">
                            <w:instrText>NUMPAGES  \* Arabic  \* MERGEFORMAT</w:instrText>
                          </w:r>
                          <w:r w:rsidR="007515B8">
                            <w:fldChar w:fldCharType="separate"/>
                          </w:r>
                          <w:r w:rsidR="007515B8" w:rsidRPr="007515B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10</w:t>
                          </w:r>
                          <w:r w:rsidR="007515B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65594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7515B8" w:rsidRPr="007515B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3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7515B8">
                      <w:fldChar w:fldCharType="begin"/>
                    </w:r>
                    <w:r w:rsidR="007515B8">
                      <w:instrText>NUMPAGES  \* Arabic  \* MERGEFORMAT</w:instrText>
                    </w:r>
                    <w:r w:rsidR="007515B8">
                      <w:fldChar w:fldCharType="separate"/>
                    </w:r>
                    <w:r w:rsidR="007515B8" w:rsidRPr="007515B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10</w:t>
                    </w:r>
                    <w:r w:rsidR="007515B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359E62" wp14:editId="1709CEB3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359E62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4B6C3C" wp14:editId="5E843760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7515B8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4B6C3C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7515B8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D6" w:rsidRDefault="004D5CD6" w:rsidP="00650A99">
      <w:r>
        <w:separator/>
      </w:r>
    </w:p>
  </w:footnote>
  <w:footnote w:type="continuationSeparator" w:id="0">
    <w:p w:rsidR="004D5CD6" w:rsidRDefault="004D5CD6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124F58" w:rsidRDefault="00DD0981">
    <w:pPr>
      <w:pStyle w:val="Encabezado"/>
      <w:rPr>
        <w:rFonts w:ascii="Tahoma" w:hAnsi="Tahoma" w:cs="Tahoma"/>
        <w:sz w:val="8"/>
      </w:rPr>
    </w:pPr>
  </w:p>
  <w:p w:rsidR="00DD0981" w:rsidRDefault="00975703">
    <w:pPr>
      <w:pStyle w:val="Encabezado"/>
    </w:pPr>
    <w:r>
      <w:rPr>
        <w:noProof/>
      </w:rPr>
      <w:drawing>
        <wp:inline distT="0" distB="0" distL="0" distR="0" wp14:anchorId="54F5DCA6" wp14:editId="771EB07B">
          <wp:extent cx="1571625" cy="1219200"/>
          <wp:effectExtent l="0" t="0" r="9525" b="0"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0706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66FA5"/>
    <w:rsid w:val="00070555"/>
    <w:rsid w:val="0007281C"/>
    <w:rsid w:val="00072DF8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432"/>
    <w:rsid w:val="00092D3A"/>
    <w:rsid w:val="00096CAD"/>
    <w:rsid w:val="000971C2"/>
    <w:rsid w:val="000A4FDA"/>
    <w:rsid w:val="000A5A8D"/>
    <w:rsid w:val="000A5F72"/>
    <w:rsid w:val="000B18CD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E7163"/>
    <w:rsid w:val="000F1700"/>
    <w:rsid w:val="000F17B4"/>
    <w:rsid w:val="000F4FA1"/>
    <w:rsid w:val="00100CEE"/>
    <w:rsid w:val="001077DC"/>
    <w:rsid w:val="00107C16"/>
    <w:rsid w:val="00110EA7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2AB"/>
    <w:rsid w:val="00154430"/>
    <w:rsid w:val="00156A0B"/>
    <w:rsid w:val="001605A0"/>
    <w:rsid w:val="00160B31"/>
    <w:rsid w:val="001617F8"/>
    <w:rsid w:val="00163663"/>
    <w:rsid w:val="001666F5"/>
    <w:rsid w:val="00171674"/>
    <w:rsid w:val="0017250D"/>
    <w:rsid w:val="00181F16"/>
    <w:rsid w:val="001A5473"/>
    <w:rsid w:val="001B4378"/>
    <w:rsid w:val="001B7E9B"/>
    <w:rsid w:val="001C4B7C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B6094"/>
    <w:rsid w:val="002C1455"/>
    <w:rsid w:val="002C24CB"/>
    <w:rsid w:val="002C31ED"/>
    <w:rsid w:val="002D03DF"/>
    <w:rsid w:val="002D3A88"/>
    <w:rsid w:val="002D51B5"/>
    <w:rsid w:val="002D62AF"/>
    <w:rsid w:val="002D6719"/>
    <w:rsid w:val="002E1436"/>
    <w:rsid w:val="002E3EC0"/>
    <w:rsid w:val="002E7240"/>
    <w:rsid w:val="002F54E8"/>
    <w:rsid w:val="003026A2"/>
    <w:rsid w:val="00303824"/>
    <w:rsid w:val="0030612E"/>
    <w:rsid w:val="00306CC6"/>
    <w:rsid w:val="00310359"/>
    <w:rsid w:val="003108E9"/>
    <w:rsid w:val="00313CA5"/>
    <w:rsid w:val="003205FF"/>
    <w:rsid w:val="00321B22"/>
    <w:rsid w:val="00321EC8"/>
    <w:rsid w:val="003242F1"/>
    <w:rsid w:val="00325332"/>
    <w:rsid w:val="003305B2"/>
    <w:rsid w:val="00332DE4"/>
    <w:rsid w:val="00334968"/>
    <w:rsid w:val="00341B3E"/>
    <w:rsid w:val="00351487"/>
    <w:rsid w:val="00356B3F"/>
    <w:rsid w:val="003578AE"/>
    <w:rsid w:val="003650F9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34A"/>
    <w:rsid w:val="003D499A"/>
    <w:rsid w:val="003D5BDF"/>
    <w:rsid w:val="003E25A9"/>
    <w:rsid w:val="003E2908"/>
    <w:rsid w:val="003E5E8B"/>
    <w:rsid w:val="003F5E08"/>
    <w:rsid w:val="00402C3D"/>
    <w:rsid w:val="004032C1"/>
    <w:rsid w:val="00407637"/>
    <w:rsid w:val="004120E2"/>
    <w:rsid w:val="00423359"/>
    <w:rsid w:val="00426FB0"/>
    <w:rsid w:val="00430D77"/>
    <w:rsid w:val="00440EAB"/>
    <w:rsid w:val="00452E65"/>
    <w:rsid w:val="00454B8B"/>
    <w:rsid w:val="00461871"/>
    <w:rsid w:val="004622C7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D5CD6"/>
    <w:rsid w:val="004E17F3"/>
    <w:rsid w:val="004E3F57"/>
    <w:rsid w:val="004E585C"/>
    <w:rsid w:val="004F2F93"/>
    <w:rsid w:val="004F3BF7"/>
    <w:rsid w:val="004F4C50"/>
    <w:rsid w:val="00506345"/>
    <w:rsid w:val="00516E68"/>
    <w:rsid w:val="00520FA4"/>
    <w:rsid w:val="00525DE2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2488"/>
    <w:rsid w:val="00687B70"/>
    <w:rsid w:val="00692975"/>
    <w:rsid w:val="006A5FCB"/>
    <w:rsid w:val="006B765E"/>
    <w:rsid w:val="006B7F90"/>
    <w:rsid w:val="006C051C"/>
    <w:rsid w:val="006D20E4"/>
    <w:rsid w:val="006D2B4A"/>
    <w:rsid w:val="00700DB0"/>
    <w:rsid w:val="0070120A"/>
    <w:rsid w:val="007062D9"/>
    <w:rsid w:val="00706545"/>
    <w:rsid w:val="00715B59"/>
    <w:rsid w:val="00736007"/>
    <w:rsid w:val="007375E5"/>
    <w:rsid w:val="00741A06"/>
    <w:rsid w:val="00745063"/>
    <w:rsid w:val="00747180"/>
    <w:rsid w:val="007515B8"/>
    <w:rsid w:val="00753C57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C4693"/>
    <w:rsid w:val="007D5C4B"/>
    <w:rsid w:val="007D6052"/>
    <w:rsid w:val="007D7CE3"/>
    <w:rsid w:val="007F7C04"/>
    <w:rsid w:val="00800EEF"/>
    <w:rsid w:val="008036D7"/>
    <w:rsid w:val="00811662"/>
    <w:rsid w:val="0081311A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47EEE"/>
    <w:rsid w:val="00862966"/>
    <w:rsid w:val="00872CA8"/>
    <w:rsid w:val="008761A0"/>
    <w:rsid w:val="00897455"/>
    <w:rsid w:val="008A0D33"/>
    <w:rsid w:val="008A0D90"/>
    <w:rsid w:val="008A1B70"/>
    <w:rsid w:val="008A5D7F"/>
    <w:rsid w:val="008C50AC"/>
    <w:rsid w:val="008D6CE6"/>
    <w:rsid w:val="008E2ADB"/>
    <w:rsid w:val="008E40B7"/>
    <w:rsid w:val="008E6775"/>
    <w:rsid w:val="008F6815"/>
    <w:rsid w:val="009058D0"/>
    <w:rsid w:val="00906002"/>
    <w:rsid w:val="00907660"/>
    <w:rsid w:val="00914565"/>
    <w:rsid w:val="009209C9"/>
    <w:rsid w:val="00921D04"/>
    <w:rsid w:val="00926B45"/>
    <w:rsid w:val="009339AC"/>
    <w:rsid w:val="00934CE3"/>
    <w:rsid w:val="00942761"/>
    <w:rsid w:val="00942F02"/>
    <w:rsid w:val="00943029"/>
    <w:rsid w:val="009471EB"/>
    <w:rsid w:val="0095324D"/>
    <w:rsid w:val="00957662"/>
    <w:rsid w:val="00957C10"/>
    <w:rsid w:val="009606B3"/>
    <w:rsid w:val="00966EAD"/>
    <w:rsid w:val="00974E10"/>
    <w:rsid w:val="00975703"/>
    <w:rsid w:val="0098778A"/>
    <w:rsid w:val="00990B51"/>
    <w:rsid w:val="00991F22"/>
    <w:rsid w:val="009961BF"/>
    <w:rsid w:val="009C0615"/>
    <w:rsid w:val="009D7ECE"/>
    <w:rsid w:val="009E01E8"/>
    <w:rsid w:val="009E3411"/>
    <w:rsid w:val="009F0EF0"/>
    <w:rsid w:val="009F3F48"/>
    <w:rsid w:val="00A03D09"/>
    <w:rsid w:val="00A04FA7"/>
    <w:rsid w:val="00A22045"/>
    <w:rsid w:val="00A32274"/>
    <w:rsid w:val="00A32BD8"/>
    <w:rsid w:val="00A34FD5"/>
    <w:rsid w:val="00A43B37"/>
    <w:rsid w:val="00A44F64"/>
    <w:rsid w:val="00A47CA0"/>
    <w:rsid w:val="00A57CC2"/>
    <w:rsid w:val="00A642C7"/>
    <w:rsid w:val="00A65971"/>
    <w:rsid w:val="00A742F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E7455"/>
    <w:rsid w:val="00AF71D3"/>
    <w:rsid w:val="00B0252C"/>
    <w:rsid w:val="00B10BDA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57255"/>
    <w:rsid w:val="00B63579"/>
    <w:rsid w:val="00B6483D"/>
    <w:rsid w:val="00B648B1"/>
    <w:rsid w:val="00B65897"/>
    <w:rsid w:val="00B66376"/>
    <w:rsid w:val="00B7024B"/>
    <w:rsid w:val="00B74E57"/>
    <w:rsid w:val="00B74F06"/>
    <w:rsid w:val="00B766AB"/>
    <w:rsid w:val="00B773B4"/>
    <w:rsid w:val="00B83BF2"/>
    <w:rsid w:val="00B8540B"/>
    <w:rsid w:val="00B86295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6DAC"/>
    <w:rsid w:val="00C276A2"/>
    <w:rsid w:val="00C334D1"/>
    <w:rsid w:val="00C35423"/>
    <w:rsid w:val="00C35A0C"/>
    <w:rsid w:val="00C36BE7"/>
    <w:rsid w:val="00C404DC"/>
    <w:rsid w:val="00C42CB6"/>
    <w:rsid w:val="00C43064"/>
    <w:rsid w:val="00C54464"/>
    <w:rsid w:val="00C54674"/>
    <w:rsid w:val="00C6199A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05A58"/>
    <w:rsid w:val="00D130D4"/>
    <w:rsid w:val="00D338CD"/>
    <w:rsid w:val="00D35097"/>
    <w:rsid w:val="00D42439"/>
    <w:rsid w:val="00D70440"/>
    <w:rsid w:val="00D718F8"/>
    <w:rsid w:val="00D71C09"/>
    <w:rsid w:val="00D774B6"/>
    <w:rsid w:val="00D81436"/>
    <w:rsid w:val="00D85DD3"/>
    <w:rsid w:val="00D9131A"/>
    <w:rsid w:val="00DA07E0"/>
    <w:rsid w:val="00DA76D0"/>
    <w:rsid w:val="00DB2278"/>
    <w:rsid w:val="00DB5E63"/>
    <w:rsid w:val="00DB7D77"/>
    <w:rsid w:val="00DC4D50"/>
    <w:rsid w:val="00DD0981"/>
    <w:rsid w:val="00DD2F1E"/>
    <w:rsid w:val="00DD5CA9"/>
    <w:rsid w:val="00DF4B34"/>
    <w:rsid w:val="00E00EAB"/>
    <w:rsid w:val="00E06024"/>
    <w:rsid w:val="00E16EF6"/>
    <w:rsid w:val="00E23180"/>
    <w:rsid w:val="00E27185"/>
    <w:rsid w:val="00E35BA6"/>
    <w:rsid w:val="00E37DA4"/>
    <w:rsid w:val="00E438FA"/>
    <w:rsid w:val="00E44E11"/>
    <w:rsid w:val="00E562E9"/>
    <w:rsid w:val="00E66A28"/>
    <w:rsid w:val="00E745B9"/>
    <w:rsid w:val="00E77764"/>
    <w:rsid w:val="00E80CF1"/>
    <w:rsid w:val="00EC5776"/>
    <w:rsid w:val="00ED18CB"/>
    <w:rsid w:val="00F067EF"/>
    <w:rsid w:val="00F11CE8"/>
    <w:rsid w:val="00F152E9"/>
    <w:rsid w:val="00F161D1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A017F44A-767E-44DF-9C09-570B2B20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Suarez\Cuadro%20Comparativo.xls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Suarez\Cuadro%20Comparativo.xls" TargetMode="External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#,##0</c:formatCode>
                <c:ptCount val="3"/>
                <c:pt idx="0">
                  <c:v>13104581</c:v>
                </c:pt>
                <c:pt idx="1">
                  <c:v>4414063</c:v>
                </c:pt>
                <c:pt idx="2">
                  <c:v>8690518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#,##0</c:formatCode>
                <c:ptCount val="3"/>
                <c:pt idx="0">
                  <c:v>12029294</c:v>
                </c:pt>
                <c:pt idx="1">
                  <c:v>3778451</c:v>
                </c:pt>
                <c:pt idx="2">
                  <c:v>8250843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1395456"/>
        <c:axId val="801393280"/>
        <c:axId val="0"/>
      </c:bar3DChart>
      <c:catAx>
        <c:axId val="801395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801393280"/>
        <c:crosses val="autoZero"/>
        <c:auto val="1"/>
        <c:lblAlgn val="ctr"/>
        <c:lblOffset val="100"/>
        <c:noMultiLvlLbl val="0"/>
      </c:catAx>
      <c:valAx>
        <c:axId val="801393280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8013954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1" i="0" u="none" strike="noStrike" baseline="0">
                <a:solidFill>
                  <a:srgbClr val="FFFFFF"/>
                </a:solidFill>
                <a:latin typeface="Calibri"/>
              </a:rPr>
              <a:t>Estado de Actividad Financiera, Economica, Social y Ambiental </a:t>
            </a:r>
            <a:r>
              <a:rPr lang="es-CO" sz="1400" b="0" i="0" u="none" strike="noStrike" baseline="0">
                <a:solidFill>
                  <a:srgbClr val="FFFFFF"/>
                </a:solidFill>
                <a:latin typeface="Calibri"/>
              </a:rPr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946062992125983"/>
          <c:y val="0.23793362278313343"/>
          <c:w val="0.63678390201224844"/>
          <c:h val="0.670128177844713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#,##0</c:formatCode>
                <c:ptCount val="2"/>
                <c:pt idx="0">
                  <c:v>6857583</c:v>
                </c:pt>
                <c:pt idx="1">
                  <c:v>5838225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Graficas!#¡REF!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1075296"/>
        <c:axId val="801075840"/>
        <c:axId val="1272161680"/>
      </c:bar3DChart>
      <c:catAx>
        <c:axId val="801075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801075840"/>
        <c:crosses val="autoZero"/>
        <c:auto val="1"/>
        <c:lblAlgn val="ctr"/>
        <c:lblOffset val="100"/>
        <c:noMultiLvlLbl val="0"/>
      </c:catAx>
      <c:valAx>
        <c:axId val="801075840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801075296"/>
        <c:crosses val="autoZero"/>
        <c:crossBetween val="between"/>
      </c:valAx>
      <c:serAx>
        <c:axId val="1272161680"/>
        <c:scaling>
          <c:orientation val="minMax"/>
        </c:scaling>
        <c:delete val="1"/>
        <c:axPos val="b"/>
        <c:majorTickMark val="out"/>
        <c:minorTickMark val="none"/>
        <c:tickLblPos val="nextTo"/>
        <c:crossAx val="801075840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sz="920" b="1" i="0" u="none" strike="noStrike" baseline="0">
              <a:solidFill>
                <a:srgbClr val="FFFFFF"/>
              </a:solidFill>
              <a:latin typeface="Calibri"/>
              <a:ea typeface="Calibri"/>
              <a:cs typeface="Calibri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B0E9-4A15-472D-866C-52E632F8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10</Pages>
  <Words>1790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35</cp:revision>
  <cp:lastPrinted>2016-12-25T22:06:00Z</cp:lastPrinted>
  <dcterms:created xsi:type="dcterms:W3CDTF">2015-09-24T21:09:00Z</dcterms:created>
  <dcterms:modified xsi:type="dcterms:W3CDTF">2016-12-25T22:06:00Z</dcterms:modified>
</cp:coreProperties>
</file>