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96177F" w:rsidP="001D6862">
      <w:pPr>
        <w:spacing w:before="0" w:after="0" w:line="19" w:lineRule="atLeast"/>
        <w:jc w:val="center"/>
        <w:rPr>
          <w:rFonts w:ascii="Tahoma" w:hAnsi="Tahoma" w:cs="Tahoma"/>
          <w:b/>
        </w:rPr>
      </w:pPr>
      <w:bookmarkStart w:id="0" w:name="_GoBack"/>
      <w:bookmarkEnd w:id="0"/>
      <w:r>
        <w:rPr>
          <w:rFonts w:ascii="Tahoma" w:hAnsi="Tahoma" w:cs="Tahoma"/>
          <w:b/>
        </w:rPr>
        <w:t xml:space="preserve"> </w:t>
      </w:r>
      <w:r w:rsidR="00524E1D" w:rsidRPr="00EA2D8B">
        <w:rPr>
          <w:rFonts w:ascii="Tahoma" w:hAnsi="Tahoma" w:cs="Tahoma"/>
          <w:b/>
        </w:rPr>
        <w:t>INFORME FISCAL Y FINANCIERO</w:t>
      </w:r>
    </w:p>
    <w:p w:rsidR="008369B2"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191CBF">
        <w:rPr>
          <w:rFonts w:ascii="Tahoma" w:hAnsi="Tahoma" w:cs="Tahoma"/>
          <w:b/>
        </w:rPr>
        <w:t>ICONONZO</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00ED1B75">
        <w:rPr>
          <w:rFonts w:ascii="Tahoma" w:hAnsi="Tahoma" w:cs="Tahoma"/>
          <w:b w:val="0"/>
          <w:sz w:val="22"/>
          <w:szCs w:val="22"/>
        </w:rPr>
        <w:t>.</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191CBF">
        <w:rPr>
          <w:rFonts w:ascii="Tahoma" w:hAnsi="Tahoma" w:cs="Tahoma"/>
          <w:color w:val="auto"/>
        </w:rPr>
        <w:t>Icononzo</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Pr="00A6547B">
        <w:rPr>
          <w:rFonts w:ascii="Tahoma" w:hAnsi="Tahoma" w:cs="Tahoma"/>
          <w:color w:val="auto"/>
        </w:rPr>
        <w:t>.</w:t>
      </w:r>
      <w:r w:rsidR="00AD0C4B" w:rsidRPr="00A6547B">
        <w:rPr>
          <w:rFonts w:ascii="Tahoma" w:hAnsi="Tahoma" w:cs="Tahoma"/>
          <w:color w:val="auto"/>
        </w:rPr>
        <w:t xml:space="preserve"> </w:t>
      </w:r>
      <w:r w:rsidR="007F40C8" w:rsidRPr="00A6547B">
        <w:rPr>
          <w:rFonts w:ascii="Tahoma" w:hAnsi="Tahoma" w:cs="Tahoma"/>
          <w:b/>
          <w:color w:val="auto"/>
        </w:rPr>
        <w:t>0</w:t>
      </w:r>
      <w:r w:rsidR="00191CBF">
        <w:rPr>
          <w:rFonts w:ascii="Tahoma" w:hAnsi="Tahoma" w:cs="Tahoma"/>
          <w:b/>
          <w:color w:val="auto"/>
        </w:rPr>
        <w:t>19</w:t>
      </w:r>
      <w:r w:rsidR="007F40C8" w:rsidRPr="00A6547B">
        <w:rPr>
          <w:rFonts w:ascii="Tahoma" w:hAnsi="Tahoma" w:cs="Tahoma"/>
          <w:b/>
          <w:color w:val="auto"/>
        </w:rPr>
        <w:t xml:space="preserve"> </w:t>
      </w:r>
      <w:r w:rsidRPr="00A6547B">
        <w:rPr>
          <w:rFonts w:ascii="Tahoma" w:hAnsi="Tahoma" w:cs="Tahoma"/>
          <w:b/>
          <w:color w:val="auto"/>
        </w:rPr>
        <w:t>de</w:t>
      </w:r>
      <w:r w:rsidR="007F40C8" w:rsidRPr="00A6547B">
        <w:rPr>
          <w:rFonts w:ascii="Tahoma" w:hAnsi="Tahoma" w:cs="Tahoma"/>
          <w:b/>
          <w:color w:val="auto"/>
        </w:rPr>
        <w:t xml:space="preserve">l </w:t>
      </w:r>
      <w:r w:rsidR="00191CBF">
        <w:rPr>
          <w:rFonts w:ascii="Tahoma" w:hAnsi="Tahoma" w:cs="Tahoma"/>
          <w:b/>
          <w:color w:val="auto"/>
        </w:rPr>
        <w:t>4</w:t>
      </w:r>
      <w:r w:rsidR="0010060F">
        <w:rPr>
          <w:rFonts w:ascii="Tahoma" w:hAnsi="Tahoma" w:cs="Tahoma"/>
          <w:b/>
          <w:color w:val="auto"/>
        </w:rPr>
        <w:t xml:space="preserve"> </w:t>
      </w:r>
      <w:r w:rsidR="007F40C8" w:rsidRPr="00A6547B">
        <w:rPr>
          <w:rFonts w:ascii="Tahoma" w:hAnsi="Tahoma" w:cs="Tahoma"/>
          <w:b/>
          <w:color w:val="auto"/>
        </w:rPr>
        <w:t>de</w:t>
      </w:r>
      <w:r w:rsidR="006D7C83" w:rsidRPr="00A6547B">
        <w:rPr>
          <w:rFonts w:ascii="Tahoma" w:hAnsi="Tahoma" w:cs="Tahoma"/>
          <w:b/>
          <w:color w:val="auto"/>
        </w:rPr>
        <w:t xml:space="preserve"> </w:t>
      </w:r>
      <w:r w:rsidR="00191CBF">
        <w:rPr>
          <w:rFonts w:ascii="Tahoma" w:hAnsi="Tahoma" w:cs="Tahoma"/>
          <w:b/>
          <w:color w:val="auto"/>
        </w:rPr>
        <w:t>Dici</w:t>
      </w:r>
      <w:r w:rsidR="00302682" w:rsidRPr="00A6547B">
        <w:rPr>
          <w:rFonts w:ascii="Tahoma" w:hAnsi="Tahoma" w:cs="Tahoma"/>
          <w:b/>
          <w:color w:val="auto"/>
        </w:rPr>
        <w:t xml:space="preserve">embre </w:t>
      </w:r>
      <w:r w:rsidR="007F40C8" w:rsidRPr="00A6547B">
        <w:rPr>
          <w:rFonts w:ascii="Tahoma" w:hAnsi="Tahoma" w:cs="Tahoma"/>
          <w:b/>
          <w:color w:val="auto"/>
        </w:rPr>
        <w:t>de</w:t>
      </w:r>
      <w:r w:rsidR="006D7C83" w:rsidRPr="00A6547B">
        <w:rPr>
          <w:rFonts w:ascii="Tahoma" w:hAnsi="Tahoma" w:cs="Tahoma"/>
          <w:b/>
          <w:color w:val="auto"/>
        </w:rPr>
        <w:t xml:space="preserve"> 201</w:t>
      </w:r>
      <w:r w:rsidR="00AD0C4B" w:rsidRPr="00A6547B">
        <w:rPr>
          <w:rFonts w:ascii="Tahoma" w:hAnsi="Tahoma" w:cs="Tahoma"/>
          <w:b/>
          <w:color w:val="auto"/>
        </w:rPr>
        <w:t>4</w:t>
      </w:r>
      <w:r w:rsidR="003F39A5">
        <w:rPr>
          <w:rFonts w:ascii="Tahoma" w:hAnsi="Tahoma" w:cs="Tahoma"/>
          <w:b/>
          <w:color w:val="auto"/>
        </w:rPr>
        <w:t>,</w:t>
      </w:r>
      <w:r w:rsidR="00EC36EF" w:rsidRPr="00A6547B">
        <w:rPr>
          <w:rFonts w:ascii="Tahoma" w:hAnsi="Tahoma" w:cs="Tahoma"/>
          <w:color w:val="auto"/>
        </w:rPr>
        <w:t xml:space="preserve"> </w:t>
      </w:r>
      <w:r w:rsidR="006A0F41" w:rsidRPr="00A6547B">
        <w:rPr>
          <w:rFonts w:ascii="Tahoma" w:hAnsi="Tahoma" w:cs="Tahoma"/>
          <w:color w:val="auto"/>
        </w:rPr>
        <w:t>en la suma de</w:t>
      </w:r>
      <w:r w:rsidR="006A0F41" w:rsidRPr="00A6547B">
        <w:rPr>
          <w:rFonts w:ascii="Tahoma" w:hAnsi="Tahoma" w:cs="Tahoma"/>
          <w:b/>
          <w:color w:val="auto"/>
        </w:rPr>
        <w:t xml:space="preserve">  </w:t>
      </w:r>
      <w:r w:rsidR="003F39A5">
        <w:rPr>
          <w:rFonts w:ascii="Tahoma" w:hAnsi="Tahoma" w:cs="Tahoma"/>
          <w:b/>
          <w:color w:val="auto"/>
        </w:rPr>
        <w:t>SIETE</w:t>
      </w:r>
      <w:r w:rsidR="00B262CD">
        <w:rPr>
          <w:rFonts w:ascii="Tahoma" w:hAnsi="Tahoma" w:cs="Tahoma"/>
          <w:b/>
          <w:color w:val="auto"/>
        </w:rPr>
        <w:t xml:space="preserve"> MIL </w:t>
      </w:r>
      <w:r w:rsidR="003F39A5">
        <w:rPr>
          <w:rFonts w:ascii="Tahoma" w:hAnsi="Tahoma" w:cs="Tahoma"/>
          <w:b/>
          <w:color w:val="auto"/>
        </w:rPr>
        <w:t xml:space="preserve">SETECIENTOS MILLONES SEISCIENTOS NOVENTA Y UN MIL SETECIENTOS NOVENTA Y SIETE </w:t>
      </w:r>
      <w:r w:rsidR="00B262CD">
        <w:rPr>
          <w:rFonts w:ascii="Tahoma" w:hAnsi="Tahoma" w:cs="Tahoma"/>
          <w:b/>
          <w:color w:val="auto"/>
        </w:rPr>
        <w:t xml:space="preserve">PESOS </w:t>
      </w:r>
      <w:r w:rsidR="006A0F41" w:rsidRPr="00A6547B">
        <w:rPr>
          <w:rFonts w:ascii="Tahoma" w:hAnsi="Tahoma" w:cs="Tahoma"/>
          <w:b/>
          <w:color w:val="auto"/>
        </w:rPr>
        <w:t xml:space="preserve">M/CTE </w:t>
      </w:r>
      <w:r w:rsidR="006A0F41" w:rsidRPr="00231ECA">
        <w:rPr>
          <w:rFonts w:ascii="Tahoma" w:hAnsi="Tahoma" w:cs="Tahoma"/>
          <w:b/>
          <w:color w:val="auto"/>
        </w:rPr>
        <w:t>($</w:t>
      </w:r>
      <w:r w:rsidR="00191CBF">
        <w:rPr>
          <w:rFonts w:ascii="Tahoma" w:hAnsi="Tahoma" w:cs="Tahoma"/>
          <w:b/>
          <w:color w:val="auto"/>
        </w:rPr>
        <w:t>7.700</w:t>
      </w:r>
      <w:r w:rsidR="00581A4A">
        <w:rPr>
          <w:rFonts w:ascii="Tahoma" w:hAnsi="Tahoma" w:cs="Tahoma"/>
          <w:b/>
          <w:color w:val="auto"/>
        </w:rPr>
        <w:t>.</w:t>
      </w:r>
      <w:r w:rsidR="00191CBF">
        <w:rPr>
          <w:rFonts w:ascii="Tahoma" w:hAnsi="Tahoma" w:cs="Tahoma"/>
          <w:b/>
          <w:color w:val="auto"/>
        </w:rPr>
        <w:t>691.797.</w:t>
      </w:r>
      <w:r w:rsidR="0000466A">
        <w:rPr>
          <w:rFonts w:ascii="Tahoma" w:hAnsi="Tahoma" w:cs="Tahoma"/>
          <w:b/>
          <w:color w:val="auto"/>
        </w:rPr>
        <w:t>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3F39A5">
        <w:rPr>
          <w:rFonts w:ascii="Tahoma" w:hAnsi="Tahoma" w:cs="Tahoma"/>
          <w:color w:val="auto"/>
        </w:rPr>
        <w:t>Icononzo</w:t>
      </w:r>
      <w:r w:rsidR="001734CC">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3F39A5" w:rsidRPr="00231ECA">
        <w:rPr>
          <w:rFonts w:ascii="Tahoma" w:hAnsi="Tahoma" w:cs="Tahoma"/>
          <w:b/>
          <w:color w:val="auto"/>
        </w:rPr>
        <w:t>$</w:t>
      </w:r>
      <w:r w:rsidR="003F39A5">
        <w:rPr>
          <w:rFonts w:ascii="Tahoma" w:hAnsi="Tahoma" w:cs="Tahoma"/>
          <w:b/>
          <w:color w:val="auto"/>
        </w:rPr>
        <w:t>7.700.691.797.o</w:t>
      </w:r>
      <w:r w:rsidR="003F39A5" w:rsidRPr="00231ECA">
        <w:rPr>
          <w:rFonts w:ascii="Tahoma" w:hAnsi="Tahoma" w:cs="Tahoma"/>
          <w:b/>
          <w:color w:val="auto"/>
        </w:rPr>
        <w:t>o</w:t>
      </w:r>
      <w:r w:rsidR="00174ED6">
        <w:rPr>
          <w:rFonts w:ascii="Tahoma" w:hAnsi="Tahoma" w:cs="Tahoma"/>
          <w:b/>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C1617D" w:rsidRPr="00B26183">
        <w:rPr>
          <w:rFonts w:ascii="Tahoma" w:eastAsia="Times New Roman" w:hAnsi="Tahoma" w:cs="Tahoma"/>
          <w:b/>
          <w:bCs/>
          <w:color w:val="auto"/>
        </w:rPr>
        <w:lastRenderedPageBreak/>
        <w:t>$</w:t>
      </w:r>
      <w:r w:rsidR="003F39A5">
        <w:rPr>
          <w:rFonts w:ascii="Tahoma" w:eastAsia="Times New Roman" w:hAnsi="Tahoma" w:cs="Tahoma"/>
          <w:b/>
          <w:bCs/>
          <w:color w:val="auto"/>
        </w:rPr>
        <w:t>4.523.435.188</w:t>
      </w:r>
      <w:r w:rsidR="00C1617D" w:rsidRPr="00B26183">
        <w:rPr>
          <w:rFonts w:ascii="Tahoma" w:eastAsia="Times New Roman" w:hAnsi="Tahoma" w:cs="Tahoma"/>
          <w:b/>
          <w:bCs/>
          <w:color w:val="auto"/>
        </w:rPr>
        <w:t>.oo</w:t>
      </w:r>
      <w:r w:rsidR="00174ED6" w:rsidRPr="00CA669B">
        <w:rPr>
          <w:rFonts w:ascii="Tahoma" w:hAnsi="Tahoma" w:cs="Tahoma"/>
          <w:b/>
          <w:color w:val="auto"/>
        </w:rPr>
        <w:t>,</w:t>
      </w:r>
      <w:r w:rsidR="00174ED6">
        <w:rPr>
          <w:rFonts w:ascii="Tahoma" w:hAnsi="Tahoma" w:cs="Tahoma"/>
          <w:b/>
          <w:color w:val="auto"/>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w:t>
      </w:r>
      <w:r w:rsidR="003F39A5">
        <w:rPr>
          <w:rFonts w:ascii="Tahoma" w:eastAsia="Times New Roman" w:hAnsi="Tahoma" w:cs="Tahoma"/>
          <w:b/>
          <w:bCs/>
          <w:color w:val="auto"/>
        </w:rPr>
        <w:t>13.024.374</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B80D7C">
        <w:rPr>
          <w:rFonts w:ascii="Tahoma" w:eastAsia="Times New Roman" w:hAnsi="Tahoma" w:cs="Tahoma"/>
          <w:b/>
          <w:bCs/>
          <w:color w:val="auto"/>
        </w:rPr>
        <w:t>12.211</w:t>
      </w:r>
      <w:r w:rsidR="008B0625">
        <w:rPr>
          <w:rFonts w:ascii="Tahoma" w:eastAsia="Times New Roman" w:hAnsi="Tahoma" w:cs="Tahoma"/>
          <w:b/>
          <w:bCs/>
          <w:color w:val="auto"/>
        </w:rPr>
        <w:t>.</w:t>
      </w:r>
      <w:r w:rsidR="00B80D7C">
        <w:rPr>
          <w:rFonts w:ascii="Tahoma" w:eastAsia="Times New Roman" w:hAnsi="Tahoma" w:cs="Tahoma"/>
          <w:b/>
          <w:bCs/>
          <w:color w:val="auto"/>
        </w:rPr>
        <w:t>102.611.</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8B0625" w:rsidRPr="00BA1DE4" w:rsidTr="0035231F">
        <w:trPr>
          <w:trHeight w:val="327"/>
        </w:trPr>
        <w:tc>
          <w:tcPr>
            <w:tcW w:w="2235"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35231F">
        <w:trPr>
          <w:trHeight w:val="551"/>
        </w:trPr>
        <w:tc>
          <w:tcPr>
            <w:tcW w:w="2235" w:type="dxa"/>
          </w:tcPr>
          <w:p w:rsidR="008B0625" w:rsidRPr="00B80D7C" w:rsidRDefault="00B80D7C"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B80D7C">
              <w:rPr>
                <w:rFonts w:ascii="Tahoma" w:hAnsi="Tahoma" w:cs="Tahoma"/>
                <w:color w:val="auto"/>
              </w:rPr>
              <w:t>$7.700.691.797.oo</w:t>
            </w:r>
          </w:p>
        </w:tc>
        <w:tc>
          <w:tcPr>
            <w:tcW w:w="2268" w:type="dxa"/>
          </w:tcPr>
          <w:p w:rsidR="008B0625" w:rsidRPr="00B80D7C" w:rsidRDefault="00B80D7C"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B80D7C">
              <w:rPr>
                <w:rFonts w:ascii="Tahoma" w:eastAsia="Times New Roman" w:hAnsi="Tahoma" w:cs="Tahoma"/>
                <w:bCs/>
                <w:color w:val="auto"/>
              </w:rPr>
              <w:t>$4.523.435.188.oo</w:t>
            </w:r>
          </w:p>
        </w:tc>
        <w:tc>
          <w:tcPr>
            <w:tcW w:w="2126" w:type="dxa"/>
          </w:tcPr>
          <w:p w:rsidR="008B0625" w:rsidRPr="00B80D7C" w:rsidRDefault="00B80D7C"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B80D7C">
              <w:rPr>
                <w:rFonts w:ascii="Tahoma" w:eastAsia="Times New Roman" w:hAnsi="Tahoma" w:cs="Tahoma"/>
                <w:bCs/>
                <w:color w:val="auto"/>
              </w:rPr>
              <w:t>$13.024.374.oo</w:t>
            </w:r>
          </w:p>
        </w:tc>
        <w:tc>
          <w:tcPr>
            <w:tcW w:w="2428" w:type="dxa"/>
          </w:tcPr>
          <w:p w:rsidR="008B0625" w:rsidRPr="00AA4D3F" w:rsidRDefault="00AA4D3F"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AA4D3F">
              <w:rPr>
                <w:rFonts w:ascii="Tahoma" w:eastAsia="Times New Roman" w:hAnsi="Tahoma" w:cs="Tahoma"/>
                <w:bCs/>
                <w:color w:val="auto"/>
              </w:rPr>
              <w:t xml:space="preserve">$12.211.102.611.oo </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390EFDCC" wp14:editId="0F2B43CB">
            <wp:extent cx="5410200" cy="3840480"/>
            <wp:effectExtent l="0" t="0" r="19050" b="2667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820A3F" w:rsidRDefault="00685EF4" w:rsidP="00685EF4">
      <w:pPr>
        <w:rPr>
          <w:rFonts w:ascii="Tahoma" w:eastAsia="Times New Roman" w:hAnsi="Tahoma" w:cs="Tahoma"/>
          <w:b/>
          <w:color w:val="auto"/>
        </w:rPr>
      </w:pPr>
      <w:r w:rsidRPr="00685EF4">
        <w:rPr>
          <w:rFonts w:ascii="Tahoma" w:eastAsia="Times New Roman" w:hAnsi="Tahoma" w:cs="Tahoma"/>
          <w:b/>
          <w:color w:val="auto"/>
        </w:rPr>
        <w:t xml:space="preserve">PRESUPUESTO INICIAL DE </w:t>
      </w:r>
      <w:r w:rsidRPr="00D0423B">
        <w:rPr>
          <w:rFonts w:ascii="Tahoma" w:eastAsia="Times New Roman" w:hAnsi="Tahoma" w:cs="Tahoma"/>
          <w:b/>
          <w:color w:val="auto"/>
        </w:rPr>
        <w:t>INGRESOS</w:t>
      </w:r>
    </w:p>
    <w:p w:rsidR="009A7AA1" w:rsidRDefault="006102B8" w:rsidP="00F8609F">
      <w:pPr>
        <w:jc w:val="center"/>
        <w:rPr>
          <w:rFonts w:ascii="Tahoma" w:eastAsia="Times New Roman" w:hAnsi="Tahoma" w:cs="Tahoma"/>
          <w:color w:val="auto"/>
        </w:rPr>
      </w:pPr>
      <w:r w:rsidRPr="006102B8">
        <w:rPr>
          <w:noProof/>
        </w:rPr>
        <w:drawing>
          <wp:inline distT="0" distB="0" distL="0" distR="0" wp14:anchorId="75931DD9" wp14:editId="27ED0A84">
            <wp:extent cx="4130040" cy="5356860"/>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30398" cy="5357325"/>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5F4548" w:rsidRDefault="00685EF4" w:rsidP="00591B11">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6102B8">
        <w:rPr>
          <w:rFonts w:ascii="Tahoma" w:eastAsia="Times New Roman" w:hAnsi="Tahoma" w:cs="Tahoma"/>
          <w:bCs/>
          <w:color w:val="auto"/>
        </w:rPr>
        <w:t>9.69%</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6102B8">
        <w:rPr>
          <w:rFonts w:ascii="Tahoma" w:eastAsia="Times New Roman" w:hAnsi="Tahoma" w:cs="Tahoma"/>
          <w:bCs/>
          <w:color w:val="auto"/>
        </w:rPr>
        <w:t>746</w:t>
      </w:r>
      <w:r w:rsidR="00820A3F">
        <w:rPr>
          <w:rFonts w:ascii="Tahoma" w:eastAsia="Times New Roman" w:hAnsi="Tahoma" w:cs="Tahoma"/>
          <w:bCs/>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820A3F">
        <w:rPr>
          <w:rFonts w:ascii="Tahoma" w:eastAsia="Times New Roman" w:hAnsi="Tahoma" w:cs="Tahoma"/>
          <w:bCs/>
          <w:color w:val="auto"/>
        </w:rPr>
        <w:t xml:space="preserve">el </w:t>
      </w:r>
      <w:r w:rsidR="006102B8">
        <w:rPr>
          <w:rFonts w:ascii="Tahoma" w:eastAsia="Times New Roman" w:hAnsi="Tahoma" w:cs="Tahoma"/>
          <w:bCs/>
          <w:color w:val="auto"/>
        </w:rPr>
        <w:t>0.99% equivalentes</w:t>
      </w:r>
      <w:r>
        <w:rPr>
          <w:rFonts w:ascii="Tahoma" w:eastAsia="Times New Roman" w:hAnsi="Tahoma" w:cs="Tahoma"/>
          <w:bCs/>
          <w:color w:val="auto"/>
        </w:rPr>
        <w:t xml:space="preserve"> a </w:t>
      </w:r>
      <w:r w:rsidRPr="009A7AA1">
        <w:rPr>
          <w:rFonts w:ascii="Tahoma" w:eastAsia="Times New Roman" w:hAnsi="Tahoma" w:cs="Tahoma"/>
          <w:bCs/>
          <w:color w:val="auto"/>
        </w:rPr>
        <w:t>$</w:t>
      </w:r>
      <w:r w:rsidR="006102B8">
        <w:rPr>
          <w:rFonts w:ascii="Tahoma" w:eastAsia="Times New Roman" w:hAnsi="Tahoma" w:cs="Tahoma"/>
          <w:bCs/>
          <w:color w:val="auto"/>
        </w:rPr>
        <w:t>7</w:t>
      </w:r>
      <w:r w:rsidR="00E149B3">
        <w:rPr>
          <w:rFonts w:ascii="Tahoma" w:eastAsia="Times New Roman" w:hAnsi="Tahoma" w:cs="Tahoma"/>
          <w:bCs/>
          <w:color w:val="auto"/>
        </w:rPr>
        <w:t>6</w:t>
      </w:r>
      <w:r w:rsidR="005F4548">
        <w:rPr>
          <w:rFonts w:ascii="Tahoma" w:eastAsia="Times New Roman" w:hAnsi="Tahoma" w:cs="Tahoma"/>
          <w:color w:val="auto"/>
        </w:rPr>
        <w:t xml:space="preserve"> mill</w:t>
      </w:r>
      <w:r w:rsidR="00392FBA">
        <w:rPr>
          <w:rFonts w:ascii="Tahoma" w:eastAsia="Times New Roman" w:hAnsi="Tahoma" w:cs="Tahoma"/>
          <w:color w:val="auto"/>
        </w:rPr>
        <w:t>ones</w:t>
      </w:r>
      <w:r w:rsidR="00E149B3">
        <w:rPr>
          <w:rFonts w:ascii="Tahoma" w:eastAsia="Times New Roman" w:hAnsi="Tahoma" w:cs="Tahoma"/>
          <w:color w:val="auto"/>
        </w:rPr>
        <w:t xml:space="preserve">, Transferencias con un </w:t>
      </w:r>
      <w:r w:rsidR="006102B8">
        <w:rPr>
          <w:rFonts w:ascii="Tahoma" w:eastAsia="Times New Roman" w:hAnsi="Tahoma" w:cs="Tahoma"/>
          <w:color w:val="auto"/>
        </w:rPr>
        <w:t>36.50</w:t>
      </w:r>
      <w:r w:rsidR="00E149B3">
        <w:rPr>
          <w:rFonts w:ascii="Tahoma" w:eastAsia="Times New Roman" w:hAnsi="Tahoma" w:cs="Tahoma"/>
          <w:color w:val="auto"/>
        </w:rPr>
        <w:t>% equivalentes a $</w:t>
      </w:r>
      <w:r w:rsidR="006102B8">
        <w:rPr>
          <w:rFonts w:ascii="Tahoma" w:eastAsia="Times New Roman" w:hAnsi="Tahoma" w:cs="Tahoma"/>
          <w:color w:val="auto"/>
        </w:rPr>
        <w:t>2.810</w:t>
      </w:r>
      <w:r w:rsidR="00E149B3">
        <w:rPr>
          <w:rFonts w:ascii="Tahoma" w:eastAsia="Times New Roman" w:hAnsi="Tahoma" w:cs="Tahoma"/>
          <w:color w:val="auto"/>
        </w:rPr>
        <w:t xml:space="preserve"> millones</w:t>
      </w:r>
      <w:r w:rsidR="006102B8">
        <w:rPr>
          <w:rFonts w:ascii="Tahoma" w:eastAsia="Times New Roman" w:hAnsi="Tahoma" w:cs="Tahoma"/>
          <w:color w:val="auto"/>
        </w:rPr>
        <w:t>,</w:t>
      </w:r>
      <w:r w:rsidR="00E149B3">
        <w:rPr>
          <w:rFonts w:ascii="Tahoma" w:eastAsia="Times New Roman" w:hAnsi="Tahoma" w:cs="Tahoma"/>
          <w:color w:val="auto"/>
        </w:rPr>
        <w:t xml:space="preserve"> </w:t>
      </w:r>
      <w:r w:rsidR="006102B8">
        <w:rPr>
          <w:rFonts w:ascii="Tahoma" w:eastAsia="Times New Roman" w:hAnsi="Tahoma" w:cs="Tahoma"/>
          <w:color w:val="auto"/>
        </w:rPr>
        <w:t>R</w:t>
      </w:r>
      <w:r w:rsidR="00E149B3">
        <w:rPr>
          <w:rFonts w:ascii="Tahoma" w:eastAsia="Times New Roman" w:hAnsi="Tahoma" w:cs="Tahoma"/>
          <w:color w:val="auto"/>
        </w:rPr>
        <w:t xml:space="preserve">ecursos de </w:t>
      </w:r>
      <w:r w:rsidR="00E149B3">
        <w:rPr>
          <w:rFonts w:ascii="Tahoma" w:eastAsia="Times New Roman" w:hAnsi="Tahoma" w:cs="Tahoma"/>
          <w:color w:val="auto"/>
        </w:rPr>
        <w:lastRenderedPageBreak/>
        <w:t>Capital con un 0.</w:t>
      </w:r>
      <w:r w:rsidR="006102B8">
        <w:rPr>
          <w:rFonts w:ascii="Tahoma" w:eastAsia="Times New Roman" w:hAnsi="Tahoma" w:cs="Tahoma"/>
          <w:color w:val="auto"/>
        </w:rPr>
        <w:t>44</w:t>
      </w:r>
      <w:r w:rsidR="00E149B3">
        <w:rPr>
          <w:rFonts w:ascii="Tahoma" w:eastAsia="Times New Roman" w:hAnsi="Tahoma" w:cs="Tahoma"/>
          <w:color w:val="auto"/>
        </w:rPr>
        <w:t xml:space="preserve">% equivalentes a </w:t>
      </w:r>
      <w:r w:rsidR="006102B8">
        <w:rPr>
          <w:rFonts w:ascii="Tahoma" w:eastAsia="Times New Roman" w:hAnsi="Tahoma" w:cs="Tahoma"/>
          <w:color w:val="auto"/>
        </w:rPr>
        <w:t>3</w:t>
      </w:r>
      <w:r w:rsidR="00E149B3">
        <w:rPr>
          <w:rFonts w:ascii="Tahoma" w:eastAsia="Times New Roman" w:hAnsi="Tahoma" w:cs="Tahoma"/>
          <w:color w:val="auto"/>
        </w:rPr>
        <w:t>4 millones</w:t>
      </w:r>
      <w:r w:rsidR="006102B8">
        <w:rPr>
          <w:rFonts w:ascii="Tahoma" w:eastAsia="Times New Roman" w:hAnsi="Tahoma" w:cs="Tahoma"/>
          <w:color w:val="auto"/>
        </w:rPr>
        <w:t>, Ingresos Fondos especiales 52.38%, equivalentes a $4.033 millones</w:t>
      </w:r>
      <w:r w:rsidR="00511C4D">
        <w:rPr>
          <w:rFonts w:ascii="Tahoma" w:eastAsia="Times New Roman" w:hAnsi="Tahoma" w:cs="Tahoma"/>
          <w:color w:val="auto"/>
        </w:rPr>
        <w:t>.</w:t>
      </w:r>
      <w:r>
        <w:rPr>
          <w:rFonts w:ascii="Tahoma" w:eastAsia="Times New Roman" w:hAnsi="Tahoma" w:cs="Tahoma"/>
          <w:color w:val="auto"/>
        </w:rPr>
        <w:t xml:space="preserve"> </w:t>
      </w:r>
    </w:p>
    <w:p w:rsidR="005F4548" w:rsidRPr="005F4548" w:rsidRDefault="001B50D0" w:rsidP="005F4548">
      <w:pPr>
        <w:jc w:val="both"/>
        <w:rPr>
          <w:rFonts w:ascii="Tahoma" w:eastAsia="Times New Roman" w:hAnsi="Tahoma" w:cs="Tahoma"/>
          <w:color w:val="auto"/>
        </w:rPr>
      </w:pPr>
      <w:r>
        <w:rPr>
          <w:rFonts w:ascii="Tahoma" w:eastAsia="Times New Roman" w:hAnsi="Tahoma" w:cs="Tahoma"/>
          <w:noProof/>
          <w:color w:val="auto"/>
        </w:rPr>
        <w:drawing>
          <wp:inline distT="0" distB="0" distL="0" distR="0" wp14:anchorId="54A1E067" wp14:editId="612AAAC1">
            <wp:extent cx="5486400" cy="2971800"/>
            <wp:effectExtent l="0" t="0" r="19050" b="1905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4548" w:rsidRDefault="005F4548" w:rsidP="005F4548">
      <w:pPr>
        <w:rPr>
          <w:rFonts w:ascii="Tahoma" w:eastAsia="Times New Roman" w:hAnsi="Tahoma" w:cs="Tahoma"/>
        </w:rPr>
      </w:pPr>
    </w:p>
    <w:p w:rsidR="005F4548" w:rsidRPr="00521391" w:rsidRDefault="005F4548" w:rsidP="005F4548">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Pr>
          <w:rFonts w:ascii="Tahoma" w:eastAsia="Times New Roman" w:hAnsi="Tahoma" w:cs="Tahoma"/>
          <w:b/>
          <w:bCs/>
          <w:color w:val="auto"/>
        </w:rPr>
        <w:t xml:space="preserve"> DE INGRESOS (ADICIONES)</w:t>
      </w:r>
    </w:p>
    <w:p w:rsidR="005F4548" w:rsidRDefault="005F4548" w:rsidP="005F4548">
      <w:pPr>
        <w:tabs>
          <w:tab w:val="left" w:pos="2835"/>
        </w:tabs>
        <w:spacing w:before="0" w:after="0" w:line="19" w:lineRule="atLeast"/>
        <w:jc w:val="both"/>
        <w:rPr>
          <w:rFonts w:ascii="Tahoma" w:eastAsia="Times New Roman" w:hAnsi="Tahoma" w:cs="Tahoma"/>
          <w:bCs/>
          <w:color w:val="auto"/>
        </w:rPr>
      </w:pPr>
    </w:p>
    <w:p w:rsidR="005F4548" w:rsidRDefault="005F4548" w:rsidP="005F4548">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w:t>
      </w:r>
      <w:r w:rsidR="00522858">
        <w:rPr>
          <w:rFonts w:ascii="Tahoma" w:eastAsia="Times New Roman" w:hAnsi="Tahoma" w:cs="Tahoma"/>
          <w:bCs/>
          <w:color w:val="auto"/>
        </w:rPr>
        <w:t xml:space="preserve"> Municipio de</w:t>
      </w:r>
      <w:r>
        <w:rPr>
          <w:rFonts w:ascii="Tahoma" w:eastAsia="Times New Roman" w:hAnsi="Tahoma" w:cs="Tahoma"/>
          <w:bCs/>
          <w:color w:val="auto"/>
        </w:rPr>
        <w:t xml:space="preserve"> </w:t>
      </w:r>
      <w:r w:rsidR="003F36EF">
        <w:rPr>
          <w:rFonts w:ascii="Tahoma" w:hAnsi="Tahoma" w:cs="Tahoma"/>
          <w:color w:val="auto"/>
        </w:rPr>
        <w:t>Icononzo</w:t>
      </w:r>
      <w:r w:rsidR="00073B9C">
        <w:rPr>
          <w:rFonts w:ascii="Tahoma" w:eastAsia="Times New Roman" w:hAnsi="Tahoma" w:cs="Tahoma"/>
          <w:bCs/>
          <w:color w:val="auto"/>
        </w:rPr>
        <w:t xml:space="preserve"> </w:t>
      </w:r>
      <w:r w:rsidR="00C16960">
        <w:rPr>
          <w:rFonts w:ascii="Tahoma" w:eastAsia="Times New Roman" w:hAnsi="Tahoma" w:cs="Tahoma"/>
          <w:bCs/>
          <w:color w:val="auto"/>
        </w:rPr>
        <w:t xml:space="preserve">                                                                                                                                                             </w:t>
      </w:r>
      <w:r>
        <w:rPr>
          <w:rFonts w:ascii="Tahoma" w:eastAsia="Times New Roman" w:hAnsi="Tahoma" w:cs="Tahoma"/>
          <w:bCs/>
          <w:color w:val="auto"/>
        </w:rPr>
        <w:t xml:space="preserve">fue adicionado en un </w:t>
      </w:r>
      <w:r w:rsidR="00E100D9">
        <w:rPr>
          <w:rFonts w:ascii="Tahoma" w:eastAsia="Times New Roman" w:hAnsi="Tahoma" w:cs="Tahoma"/>
          <w:bCs/>
          <w:color w:val="auto"/>
        </w:rPr>
        <w:t>58.7</w:t>
      </w:r>
      <w:r w:rsidR="005B78BE">
        <w:rPr>
          <w:rFonts w:ascii="Tahoma" w:eastAsia="Times New Roman" w:hAnsi="Tahoma" w:cs="Tahoma"/>
          <w:bCs/>
          <w:color w:val="auto"/>
        </w:rPr>
        <w:t>4</w:t>
      </w:r>
      <w:r w:rsidR="000B720D">
        <w:rPr>
          <w:rFonts w:ascii="Tahoma" w:eastAsia="Times New Roman" w:hAnsi="Tahoma" w:cs="Tahoma"/>
          <w:bCs/>
          <w:color w:val="auto"/>
        </w:rPr>
        <w:t>%</w:t>
      </w:r>
      <w:r>
        <w:rPr>
          <w:rFonts w:ascii="Tahoma" w:eastAsia="Times New Roman" w:hAnsi="Tahoma" w:cs="Tahoma"/>
          <w:bCs/>
          <w:color w:val="auto"/>
        </w:rPr>
        <w:t xml:space="preserve"> equivalentes a </w:t>
      </w:r>
      <w:r w:rsidRPr="00604368">
        <w:rPr>
          <w:rFonts w:ascii="Tahoma" w:eastAsia="Times New Roman" w:hAnsi="Tahoma" w:cs="Tahoma"/>
          <w:b/>
          <w:bCs/>
          <w:color w:val="auto"/>
        </w:rPr>
        <w:t>$</w:t>
      </w:r>
      <w:r w:rsidR="00090CA2">
        <w:rPr>
          <w:rFonts w:ascii="Tahoma" w:eastAsia="Times New Roman" w:hAnsi="Tahoma" w:cs="Tahoma"/>
          <w:b/>
          <w:bCs/>
          <w:color w:val="auto"/>
        </w:rPr>
        <w:t>4.523</w:t>
      </w:r>
      <w:r>
        <w:rPr>
          <w:rFonts w:ascii="Tahoma" w:eastAsia="Times New Roman" w:hAnsi="Tahoma" w:cs="Tahoma"/>
          <w:bCs/>
          <w:color w:val="auto"/>
        </w:rPr>
        <w:t xml:space="preserve"> millones y las principales mo</w:t>
      </w:r>
      <w:r w:rsidR="005B78BE">
        <w:rPr>
          <w:rFonts w:ascii="Tahoma" w:eastAsia="Times New Roman" w:hAnsi="Tahoma" w:cs="Tahoma"/>
          <w:bCs/>
          <w:color w:val="auto"/>
        </w:rPr>
        <w:t>dificaciones se realizaron en la</w:t>
      </w:r>
      <w:r>
        <w:rPr>
          <w:rFonts w:ascii="Tahoma" w:eastAsia="Times New Roman" w:hAnsi="Tahoma" w:cs="Tahoma"/>
          <w:bCs/>
          <w:color w:val="auto"/>
        </w:rPr>
        <w:t xml:space="preserve">s </w:t>
      </w:r>
      <w:r w:rsidR="005B78BE">
        <w:rPr>
          <w:rFonts w:ascii="Tahoma" w:eastAsia="Times New Roman" w:hAnsi="Tahoma" w:cs="Tahoma"/>
          <w:bCs/>
          <w:color w:val="auto"/>
        </w:rPr>
        <w:t xml:space="preserve">Transferencias </w:t>
      </w:r>
      <w:r>
        <w:rPr>
          <w:rFonts w:ascii="Tahoma" w:eastAsia="Times New Roman" w:hAnsi="Tahoma" w:cs="Tahoma"/>
          <w:bCs/>
          <w:color w:val="auto"/>
        </w:rPr>
        <w:t>en la suma de $</w:t>
      </w:r>
      <w:r w:rsidR="005B78BE">
        <w:rPr>
          <w:rFonts w:ascii="Tahoma" w:eastAsia="Times New Roman" w:hAnsi="Tahoma" w:cs="Tahoma"/>
          <w:bCs/>
          <w:color w:val="auto"/>
        </w:rPr>
        <w:t xml:space="preserve">1.728 </w:t>
      </w:r>
      <w:r>
        <w:rPr>
          <w:rFonts w:ascii="Tahoma" w:eastAsia="Times New Roman" w:hAnsi="Tahoma" w:cs="Tahoma"/>
          <w:bCs/>
          <w:color w:val="auto"/>
        </w:rPr>
        <w:t xml:space="preserve">millones,  </w:t>
      </w:r>
      <w:r w:rsidR="005B78BE">
        <w:rPr>
          <w:rFonts w:ascii="Tahoma" w:eastAsia="Times New Roman" w:hAnsi="Tahoma" w:cs="Tahoma"/>
          <w:bCs/>
          <w:color w:val="auto"/>
        </w:rPr>
        <w:t>Recursos de Capital $2.474 millones y Fondos Especiales 320 millones.</w:t>
      </w:r>
      <w:r>
        <w:rPr>
          <w:rFonts w:ascii="Tahoma" w:eastAsia="Times New Roman" w:hAnsi="Tahoma" w:cs="Tahoma"/>
          <w:bCs/>
          <w:color w:val="auto"/>
        </w:rPr>
        <w:t xml:space="preserve"> Ver tabla.</w:t>
      </w:r>
    </w:p>
    <w:p w:rsidR="00C945E3" w:rsidRDefault="005B78BE" w:rsidP="00D62651">
      <w:pPr>
        <w:jc w:val="center"/>
        <w:rPr>
          <w:rFonts w:ascii="Tahoma" w:eastAsia="Times New Roman" w:hAnsi="Tahoma" w:cs="Tahoma"/>
        </w:rPr>
      </w:pPr>
      <w:r w:rsidRPr="005B78BE">
        <w:rPr>
          <w:noProof/>
        </w:rPr>
        <w:drawing>
          <wp:inline distT="0" distB="0" distL="0" distR="0" wp14:anchorId="7756D727" wp14:editId="5988DF5D">
            <wp:extent cx="5612130" cy="1976120"/>
            <wp:effectExtent l="0" t="0" r="762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1976120"/>
                    </a:xfrm>
                    <a:prstGeom prst="rect">
                      <a:avLst/>
                    </a:prstGeom>
                  </pic:spPr>
                </pic:pic>
              </a:graphicData>
            </a:graphic>
          </wp:inline>
        </w:drawing>
      </w:r>
    </w:p>
    <w:p w:rsidR="00B51E12" w:rsidRDefault="00B51E12" w:rsidP="00BF3E26">
      <w:pPr>
        <w:tabs>
          <w:tab w:val="left" w:pos="2835"/>
        </w:tabs>
        <w:spacing w:before="0" w:after="0" w:line="19" w:lineRule="atLeast"/>
        <w:rPr>
          <w:noProof/>
          <w:lang w:val="es-ES" w:eastAsia="es-ES"/>
        </w:rPr>
      </w:pPr>
    </w:p>
    <w:p w:rsidR="008374DF" w:rsidRDefault="008374DF" w:rsidP="00256F6A">
      <w:pPr>
        <w:tabs>
          <w:tab w:val="left" w:pos="5667"/>
        </w:tabs>
        <w:spacing w:before="0" w:after="0" w:line="19" w:lineRule="atLeast"/>
        <w:jc w:val="both"/>
        <w:rPr>
          <w:rFonts w:ascii="Tahoma" w:eastAsia="Times New Roman" w:hAnsi="Tahoma" w:cs="Tahoma"/>
          <w:bCs/>
          <w:color w:val="auto"/>
        </w:rPr>
      </w:pPr>
    </w:p>
    <w:p w:rsidR="00176EEF" w:rsidRDefault="00B760AE"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lastRenderedPageBreak/>
        <w:t xml:space="preserve"> </w:t>
      </w:r>
      <w:r w:rsidR="0094723D">
        <w:rPr>
          <w:rFonts w:ascii="Tahoma" w:eastAsia="Times New Roman" w:hAnsi="Tahoma" w:cs="Tahoma"/>
          <w:bCs/>
          <w:color w:val="auto"/>
        </w:rPr>
        <w:t xml:space="preserve"> </w:t>
      </w:r>
    </w:p>
    <w:p w:rsidR="00B07062" w:rsidRPr="002E4D5C" w:rsidRDefault="00B07062" w:rsidP="00256F6A">
      <w:pPr>
        <w:tabs>
          <w:tab w:val="left" w:pos="5667"/>
        </w:tabs>
        <w:spacing w:before="0" w:after="0" w:line="19" w:lineRule="atLeast"/>
        <w:jc w:val="both"/>
        <w:rPr>
          <w:rFonts w:ascii="Tahoma" w:eastAsia="Times New Roman" w:hAnsi="Tahoma" w:cs="Tahoma"/>
          <w:bCs/>
          <w:color w:val="auto"/>
          <w:sz w:val="20"/>
        </w:rPr>
      </w:pPr>
    </w:p>
    <w:p w:rsidR="008B0A18" w:rsidRPr="002E4D5C" w:rsidRDefault="00256F6A" w:rsidP="00213F57">
      <w:pPr>
        <w:tabs>
          <w:tab w:val="left" w:pos="5667"/>
        </w:tabs>
        <w:spacing w:before="0" w:after="0" w:line="19" w:lineRule="atLeast"/>
        <w:jc w:val="both"/>
        <w:rPr>
          <w:rFonts w:ascii="Tahoma" w:hAnsi="Tahoma" w:cs="Tahoma"/>
          <w:b/>
          <w:noProof/>
          <w:color w:val="auto"/>
          <w:sz w:val="20"/>
        </w:rPr>
      </w:pPr>
      <w:r w:rsidRPr="002E4D5C">
        <w:rPr>
          <w:rFonts w:ascii="Tahoma" w:eastAsia="Times New Roman" w:hAnsi="Tahoma" w:cs="Tahoma"/>
          <w:bCs/>
          <w:color w:val="auto"/>
          <w:sz w:val="20"/>
        </w:rPr>
        <w:t xml:space="preserve"> </w:t>
      </w: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691813" w:rsidRDefault="00691813" w:rsidP="008032B9">
      <w:pPr>
        <w:tabs>
          <w:tab w:val="left" w:pos="2835"/>
        </w:tabs>
        <w:spacing w:before="0" w:after="0" w:line="19" w:lineRule="atLeast"/>
        <w:jc w:val="both"/>
        <w:rPr>
          <w:rFonts w:ascii="Tahoma" w:hAnsi="Tahoma" w:cs="Tahoma"/>
          <w:noProof/>
          <w:color w:val="auto"/>
        </w:rPr>
      </w:pPr>
    </w:p>
    <w:p w:rsidR="008032B9" w:rsidRDefault="008032B9" w:rsidP="009848DF">
      <w:pPr>
        <w:tabs>
          <w:tab w:val="left" w:pos="2835"/>
        </w:tabs>
        <w:spacing w:before="0" w:after="0" w:line="19" w:lineRule="atLeast"/>
        <w:jc w:val="both"/>
        <w:rPr>
          <w:rFonts w:ascii="Tahoma" w:hAnsi="Tahoma" w:cs="Tahoma"/>
          <w:b/>
          <w:noProof/>
          <w:color w:val="auto"/>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174640">
        <w:rPr>
          <w:rFonts w:ascii="Tahoma" w:hAnsi="Tahoma" w:cs="Tahoma"/>
          <w:color w:val="auto"/>
        </w:rPr>
        <w:t>Icononzo</w:t>
      </w:r>
      <w:r w:rsidRPr="00836C5C">
        <w:rPr>
          <w:rFonts w:ascii="Tahoma" w:hAnsi="Tahoma" w:cs="Tahoma"/>
          <w:noProof/>
          <w:color w:val="auto"/>
        </w:rPr>
        <w:t xml:space="preserve"> a Diciembre 31 de 2015</w:t>
      </w:r>
      <w:r>
        <w:rPr>
          <w:rFonts w:ascii="Tahoma" w:hAnsi="Tahoma" w:cs="Tahoma"/>
          <w:noProof/>
          <w:color w:val="auto"/>
        </w:rPr>
        <w:t xml:space="preserve"> fue de $</w:t>
      </w:r>
      <w:r w:rsidR="00174640">
        <w:rPr>
          <w:rFonts w:ascii="Tahoma" w:hAnsi="Tahoma" w:cs="Tahoma"/>
          <w:noProof/>
          <w:color w:val="auto"/>
        </w:rPr>
        <w:t>12.211.102.611</w:t>
      </w:r>
      <w:r w:rsidR="003C3845">
        <w:rPr>
          <w:rFonts w:ascii="Tahoma" w:hAnsi="Tahoma" w:cs="Tahoma"/>
          <w:noProof/>
          <w:color w:val="auto"/>
        </w:rPr>
        <w:t>.</w:t>
      </w:r>
      <w:r w:rsidR="00F41E22">
        <w:rPr>
          <w:rFonts w:ascii="Tahoma" w:hAnsi="Tahoma" w:cs="Tahoma"/>
          <w:noProof/>
          <w:color w:val="auto"/>
        </w:rPr>
        <w:t>oo</w:t>
      </w:r>
      <w:r>
        <w:rPr>
          <w:rFonts w:ascii="Tahoma" w:hAnsi="Tahoma" w:cs="Tahoma"/>
          <w:noProof/>
          <w:color w:val="auto"/>
        </w:rPr>
        <w:t xml:space="preserve">, de los cuales recaudó la suma de </w:t>
      </w:r>
      <w:r w:rsidRPr="008D24B0">
        <w:rPr>
          <w:rFonts w:ascii="Tahoma" w:hAnsi="Tahoma" w:cs="Tahoma"/>
          <w:noProof/>
          <w:color w:val="auto"/>
        </w:rPr>
        <w:t>$</w:t>
      </w:r>
      <w:r w:rsidR="00174640">
        <w:rPr>
          <w:rFonts w:ascii="Tahoma" w:hAnsi="Tahoma" w:cs="Tahoma"/>
          <w:noProof/>
          <w:color w:val="auto"/>
        </w:rPr>
        <w:t>8.869.691.749</w:t>
      </w:r>
      <w:r w:rsidR="008D24B0">
        <w:rPr>
          <w:rFonts w:ascii="Tahoma" w:hAnsi="Tahoma" w:cs="Tahoma"/>
          <w:noProof/>
          <w:color w:val="auto"/>
        </w:rPr>
        <w:t>.</w:t>
      </w:r>
      <w:r w:rsidR="00FF681E">
        <w:rPr>
          <w:rFonts w:ascii="Tahoma" w:hAnsi="Tahoma" w:cs="Tahoma"/>
          <w:noProof/>
          <w:color w:val="auto"/>
        </w:rPr>
        <w:t>o</w:t>
      </w:r>
      <w:r w:rsidR="005E0382">
        <w:rPr>
          <w:rFonts w:ascii="Tahoma" w:hAnsi="Tahoma" w:cs="Tahoma"/>
          <w:noProof/>
          <w:color w:val="auto"/>
        </w:rPr>
        <w:t xml:space="preserve">o, es decir, el recaudo fue del </w:t>
      </w:r>
      <w:r w:rsidR="00174640">
        <w:rPr>
          <w:rFonts w:ascii="Tahoma" w:hAnsi="Tahoma" w:cs="Tahoma"/>
          <w:noProof/>
          <w:color w:val="auto"/>
        </w:rPr>
        <w:t>72.64</w:t>
      </w:r>
      <w:r w:rsidR="00941DC5">
        <w:rPr>
          <w:rFonts w:ascii="Tahoma" w:hAnsi="Tahoma" w:cs="Tahoma"/>
          <w:noProof/>
          <w:color w:val="auto"/>
        </w:rPr>
        <w:t>%</w:t>
      </w:r>
      <w:r w:rsidR="005E0382">
        <w:rPr>
          <w:rFonts w:ascii="Tahoma" w:hAnsi="Tahoma" w:cs="Tahoma"/>
          <w:noProof/>
          <w:color w:val="auto"/>
        </w:rPr>
        <w:t>,</w:t>
      </w:r>
      <w:r w:rsidR="00EA7A00">
        <w:rPr>
          <w:rFonts w:ascii="Tahoma" w:hAnsi="Tahoma" w:cs="Tahoma"/>
          <w:noProof/>
          <w:color w:val="auto"/>
        </w:rPr>
        <w:t xml:space="preserve"> </w:t>
      </w:r>
      <w:r>
        <w:rPr>
          <w:rFonts w:ascii="Tahoma" w:hAnsi="Tahoma" w:cs="Tahoma"/>
        </w:rPr>
        <w:t>qued</w:t>
      </w:r>
      <w:r w:rsidR="00EA7A00">
        <w:rPr>
          <w:rFonts w:ascii="Tahoma" w:hAnsi="Tahoma" w:cs="Tahoma"/>
        </w:rPr>
        <w:t>ando</w:t>
      </w:r>
      <w:r>
        <w:rPr>
          <w:rFonts w:ascii="Tahoma" w:hAnsi="Tahoma" w:cs="Tahoma"/>
        </w:rPr>
        <w:t xml:space="preserve"> pendiente por recaudar la suma de $</w:t>
      </w:r>
      <w:r w:rsidR="00174640">
        <w:rPr>
          <w:rFonts w:ascii="Tahoma" w:hAnsi="Tahoma" w:cs="Tahoma"/>
        </w:rPr>
        <w:t>3.341</w:t>
      </w:r>
      <w:r w:rsidR="007B2470">
        <w:rPr>
          <w:rFonts w:ascii="Tahoma" w:hAnsi="Tahoma" w:cs="Tahoma"/>
        </w:rPr>
        <w:t xml:space="preserve"> millones</w:t>
      </w:r>
      <w:r>
        <w:rPr>
          <w:rFonts w:ascii="Tahoma" w:hAnsi="Tahoma" w:cs="Tahoma"/>
        </w:rPr>
        <w:t>, correspondie</w:t>
      </w:r>
      <w:r w:rsidR="001D3576">
        <w:rPr>
          <w:rFonts w:ascii="Tahoma" w:hAnsi="Tahoma" w:cs="Tahoma"/>
        </w:rPr>
        <w:t xml:space="preserve">ntes </w:t>
      </w:r>
      <w:r w:rsidR="00FA29BA">
        <w:rPr>
          <w:rFonts w:ascii="Tahoma" w:hAnsi="Tahoma" w:cs="Tahoma"/>
        </w:rPr>
        <w:t xml:space="preserve">a Ingresos </w:t>
      </w:r>
      <w:r w:rsidR="00E83353">
        <w:rPr>
          <w:rFonts w:ascii="Tahoma" w:hAnsi="Tahoma" w:cs="Tahoma"/>
        </w:rPr>
        <w:t xml:space="preserve">No </w:t>
      </w:r>
      <w:r w:rsidR="00FA29BA">
        <w:rPr>
          <w:rFonts w:ascii="Tahoma" w:hAnsi="Tahoma" w:cs="Tahoma"/>
        </w:rPr>
        <w:t>Tributarios</w:t>
      </w:r>
      <w:r w:rsidR="00E83353">
        <w:rPr>
          <w:rFonts w:ascii="Tahoma" w:hAnsi="Tahoma" w:cs="Tahoma"/>
        </w:rPr>
        <w:t>,</w:t>
      </w:r>
      <w:r w:rsidR="00FA29BA">
        <w:rPr>
          <w:rFonts w:ascii="Tahoma" w:hAnsi="Tahoma" w:cs="Tahoma"/>
        </w:rPr>
        <w:t xml:space="preserve"> </w:t>
      </w:r>
      <w:r w:rsidR="00E83353">
        <w:rPr>
          <w:rFonts w:ascii="Tahoma" w:hAnsi="Tahoma" w:cs="Tahoma"/>
        </w:rPr>
        <w:t xml:space="preserve">Transferencias y </w:t>
      </w:r>
      <w:r w:rsidR="00174640">
        <w:rPr>
          <w:rFonts w:ascii="Tahoma" w:hAnsi="Tahoma" w:cs="Tahoma"/>
        </w:rPr>
        <w:t>Recursos de Capital.</w:t>
      </w:r>
      <w:r w:rsidR="001D31AB">
        <w:rPr>
          <w:rFonts w:ascii="Tahoma" w:hAnsi="Tahoma" w:cs="Tahoma"/>
        </w:rPr>
        <w:t xml:space="preserve">  </w:t>
      </w:r>
    </w:p>
    <w:p w:rsidR="00915224" w:rsidRDefault="00915224" w:rsidP="00691813">
      <w:pPr>
        <w:tabs>
          <w:tab w:val="left" w:pos="2835"/>
        </w:tabs>
        <w:spacing w:before="0" w:after="0" w:line="19" w:lineRule="atLeast"/>
        <w:rPr>
          <w:rFonts w:ascii="Tahoma" w:hAnsi="Tahoma" w:cs="Tahoma"/>
          <w:noProof/>
          <w:color w:val="auto"/>
        </w:rPr>
      </w:pPr>
    </w:p>
    <w:p w:rsidR="00691813" w:rsidRDefault="002E4D5C" w:rsidP="00691813">
      <w:pPr>
        <w:tabs>
          <w:tab w:val="left" w:pos="2835"/>
        </w:tabs>
        <w:spacing w:before="0" w:after="0" w:line="19" w:lineRule="atLeast"/>
        <w:jc w:val="center"/>
        <w:rPr>
          <w:rFonts w:ascii="Tahoma" w:hAnsi="Tahoma" w:cs="Tahoma"/>
          <w:noProof/>
          <w:color w:val="auto"/>
        </w:rPr>
      </w:pPr>
      <w:r>
        <w:rPr>
          <w:rFonts w:ascii="Tahoma" w:hAnsi="Tahoma" w:cs="Tahoma"/>
          <w:noProof/>
          <w:color w:val="auto"/>
        </w:rPr>
        <w:drawing>
          <wp:inline distT="0" distB="0" distL="0" distR="0" wp14:anchorId="402C92F9" wp14:editId="090F1E45">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073CF" w:rsidRDefault="001055EC" w:rsidP="00471A9A">
      <w:pPr>
        <w:tabs>
          <w:tab w:val="left" w:pos="3924"/>
        </w:tabs>
        <w:jc w:val="center"/>
        <w:rPr>
          <w:rFonts w:ascii="Tahoma" w:hAnsi="Tahoma" w:cs="Tahoma"/>
        </w:rPr>
      </w:pPr>
      <w:r>
        <w:rPr>
          <w:rFonts w:ascii="Tahoma" w:hAnsi="Tahoma" w:cs="Tahoma"/>
        </w:rPr>
        <w:t xml:space="preserve"> </w:t>
      </w:r>
    </w:p>
    <w:p w:rsidR="00D27BCA" w:rsidRPr="001D3576" w:rsidRDefault="00EE40F7" w:rsidP="001D3576">
      <w:pPr>
        <w:spacing w:before="0" w:after="0" w:line="19" w:lineRule="atLeast"/>
        <w:rPr>
          <w:rFonts w:ascii="Tahoma" w:hAnsi="Tahoma" w:cs="Tahoma"/>
          <w:b/>
        </w:rPr>
      </w:pPr>
      <w:r w:rsidRPr="001D3576">
        <w:rPr>
          <w:rFonts w:ascii="Tahoma" w:hAnsi="Tahoma" w:cs="Tahoma"/>
          <w:b/>
        </w:rPr>
        <w:t xml:space="preserve">2.2   </w:t>
      </w:r>
      <w:r w:rsidR="00D27BCA" w:rsidRPr="001D3576">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D13B81" w:rsidRDefault="004260B3" w:rsidP="00D13B81">
      <w:pPr>
        <w:jc w:val="both"/>
        <w:rPr>
          <w:rFonts w:ascii="Tahoma" w:eastAsia="Times New Roman" w:hAnsi="Tahoma" w:cs="Tahoma"/>
          <w:b/>
          <w:bCs/>
          <w:color w:val="auto"/>
        </w:rPr>
      </w:pPr>
      <w:r w:rsidRPr="005540CE">
        <w:rPr>
          <w:rFonts w:ascii="Tahoma" w:hAnsi="Tahoma" w:cs="Tahoma"/>
        </w:rPr>
        <w:t xml:space="preserve">El presupuesto </w:t>
      </w:r>
      <w:r>
        <w:rPr>
          <w:rFonts w:ascii="Tahoma" w:hAnsi="Tahoma" w:cs="Tahoma"/>
        </w:rPr>
        <w:t xml:space="preserve">de Gastos del Municipio de </w:t>
      </w:r>
      <w:r w:rsidR="00D13B81">
        <w:rPr>
          <w:rFonts w:ascii="Tahoma" w:hAnsi="Tahoma" w:cs="Tahoma"/>
          <w:color w:val="auto"/>
        </w:rPr>
        <w:t>Icononzo</w:t>
      </w:r>
      <w:r>
        <w:rPr>
          <w:rFonts w:ascii="Tahoma" w:hAnsi="Tahoma" w:cs="Tahoma"/>
        </w:rPr>
        <w:t xml:space="preserve"> para la vigencia fiscal 2015 fue aprobado en la cuantía de </w:t>
      </w:r>
      <w:r w:rsidR="00D13B81" w:rsidRPr="00231ECA">
        <w:rPr>
          <w:rFonts w:ascii="Tahoma" w:hAnsi="Tahoma" w:cs="Tahoma"/>
          <w:b/>
          <w:color w:val="auto"/>
        </w:rPr>
        <w:t>$</w:t>
      </w:r>
      <w:r w:rsidR="00D13B81">
        <w:rPr>
          <w:rFonts w:ascii="Tahoma" w:hAnsi="Tahoma" w:cs="Tahoma"/>
          <w:b/>
          <w:color w:val="auto"/>
        </w:rPr>
        <w:t>7.700.691.797.o</w:t>
      </w:r>
      <w:r w:rsidR="00D13B81" w:rsidRPr="00231ECA">
        <w:rPr>
          <w:rFonts w:ascii="Tahoma" w:hAnsi="Tahoma" w:cs="Tahoma"/>
          <w:b/>
          <w:color w:val="auto"/>
        </w:rPr>
        <w:t>o</w:t>
      </w:r>
      <w:r w:rsidR="00D13B81">
        <w:rPr>
          <w:rFonts w:ascii="Tahoma" w:hAnsi="Tahoma" w:cs="Tahoma"/>
          <w:b/>
        </w:rPr>
        <w:t xml:space="preserve">, </w:t>
      </w:r>
      <w:r w:rsidR="00D13B81" w:rsidRPr="00DA6502">
        <w:rPr>
          <w:rFonts w:ascii="Tahoma" w:hAnsi="Tahoma" w:cs="Tahoma"/>
          <w:color w:val="auto"/>
        </w:rPr>
        <w:t>presentó adiciones</w:t>
      </w:r>
      <w:r w:rsidR="00D13B81">
        <w:rPr>
          <w:rFonts w:ascii="Tahoma" w:hAnsi="Tahoma" w:cs="Tahoma"/>
          <w:color w:val="auto"/>
        </w:rPr>
        <w:t xml:space="preserve"> presupuestales por</w:t>
      </w:r>
      <w:r w:rsidR="00D13B81" w:rsidRPr="00DA6502">
        <w:rPr>
          <w:rFonts w:ascii="Tahoma" w:hAnsi="Tahoma" w:cs="Tahoma"/>
          <w:color w:val="auto"/>
        </w:rPr>
        <w:t xml:space="preserve"> </w:t>
      </w:r>
      <w:r w:rsidR="00D13B81" w:rsidRPr="00B26183">
        <w:rPr>
          <w:rFonts w:ascii="Tahoma" w:eastAsia="Times New Roman" w:hAnsi="Tahoma" w:cs="Tahoma"/>
          <w:b/>
          <w:bCs/>
          <w:color w:val="auto"/>
        </w:rPr>
        <w:t>$</w:t>
      </w:r>
      <w:r w:rsidR="00D13B81">
        <w:rPr>
          <w:rFonts w:ascii="Tahoma" w:eastAsia="Times New Roman" w:hAnsi="Tahoma" w:cs="Tahoma"/>
          <w:b/>
          <w:bCs/>
          <w:color w:val="auto"/>
        </w:rPr>
        <w:t>4.523.435.188</w:t>
      </w:r>
      <w:r w:rsidR="00D13B81" w:rsidRPr="00B26183">
        <w:rPr>
          <w:rFonts w:ascii="Tahoma" w:eastAsia="Times New Roman" w:hAnsi="Tahoma" w:cs="Tahoma"/>
          <w:b/>
          <w:bCs/>
          <w:color w:val="auto"/>
        </w:rPr>
        <w:t>.oo</w:t>
      </w:r>
      <w:r w:rsidR="00D13B81" w:rsidRPr="00CA669B">
        <w:rPr>
          <w:rFonts w:ascii="Tahoma" w:hAnsi="Tahoma" w:cs="Tahoma"/>
          <w:b/>
          <w:color w:val="auto"/>
        </w:rPr>
        <w:t>,</w:t>
      </w:r>
      <w:r w:rsidR="00D13B81">
        <w:rPr>
          <w:rFonts w:ascii="Tahoma" w:hAnsi="Tahoma" w:cs="Tahoma"/>
          <w:b/>
          <w:color w:val="auto"/>
        </w:rPr>
        <w:t xml:space="preserve"> </w:t>
      </w:r>
      <w:r w:rsidR="00D13B81">
        <w:rPr>
          <w:rFonts w:ascii="Tahoma" w:eastAsia="Times New Roman" w:hAnsi="Tahoma" w:cs="Tahoma"/>
          <w:bCs/>
          <w:color w:val="auto"/>
        </w:rPr>
        <w:t xml:space="preserve">y reducciones por </w:t>
      </w:r>
      <w:r w:rsidR="00D13B81" w:rsidRPr="00B26183">
        <w:rPr>
          <w:rFonts w:ascii="Tahoma" w:eastAsia="Times New Roman" w:hAnsi="Tahoma" w:cs="Tahoma"/>
          <w:b/>
          <w:bCs/>
          <w:color w:val="auto"/>
        </w:rPr>
        <w:t>$</w:t>
      </w:r>
      <w:r w:rsidR="00D13B81">
        <w:rPr>
          <w:rFonts w:ascii="Tahoma" w:eastAsia="Times New Roman" w:hAnsi="Tahoma" w:cs="Tahoma"/>
          <w:b/>
          <w:bCs/>
          <w:color w:val="auto"/>
        </w:rPr>
        <w:t>13.024.374</w:t>
      </w:r>
      <w:r w:rsidR="00D13B81" w:rsidRPr="00B26183">
        <w:rPr>
          <w:rFonts w:ascii="Tahoma" w:eastAsia="Times New Roman" w:hAnsi="Tahoma" w:cs="Tahoma"/>
          <w:b/>
          <w:bCs/>
          <w:color w:val="auto"/>
        </w:rPr>
        <w:t>.oo</w:t>
      </w:r>
      <w:r w:rsidR="00D13B81">
        <w:rPr>
          <w:rFonts w:ascii="Tahoma" w:eastAsia="Times New Roman" w:hAnsi="Tahoma" w:cs="Tahoma"/>
          <w:bCs/>
          <w:color w:val="auto"/>
        </w:rPr>
        <w:t xml:space="preserve">, para un presupuesto definitivo a Diciembre 31 de 2015 de </w:t>
      </w:r>
      <w:r w:rsidR="00D13B81" w:rsidRPr="00B26183">
        <w:rPr>
          <w:rFonts w:ascii="Tahoma" w:eastAsia="Times New Roman" w:hAnsi="Tahoma" w:cs="Tahoma"/>
          <w:b/>
          <w:bCs/>
          <w:color w:val="auto"/>
        </w:rPr>
        <w:t>$</w:t>
      </w:r>
      <w:r w:rsidR="00D13B81">
        <w:rPr>
          <w:rFonts w:ascii="Tahoma" w:eastAsia="Times New Roman" w:hAnsi="Tahoma" w:cs="Tahoma"/>
          <w:b/>
          <w:bCs/>
          <w:color w:val="auto"/>
        </w:rPr>
        <w:t>12.211.102.611.oo.</w:t>
      </w:r>
    </w:p>
    <w:p w:rsidR="00D13B81" w:rsidRDefault="00D13B81" w:rsidP="00D13B81">
      <w:pPr>
        <w:tabs>
          <w:tab w:val="left" w:pos="2835"/>
        </w:tabs>
        <w:spacing w:before="0" w:after="0" w:line="19" w:lineRule="atLeast"/>
        <w:jc w:val="both"/>
        <w:rPr>
          <w:rFonts w:ascii="Tahoma" w:eastAsia="Times New Roman" w:hAnsi="Tahoma" w:cs="Tahoma"/>
          <w:b/>
          <w:bCs/>
          <w:color w:val="auto"/>
        </w:rPr>
      </w:pPr>
    </w:p>
    <w:p w:rsidR="00D13B81" w:rsidRDefault="00D13B81" w:rsidP="00D13B81">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D13B81" w:rsidRPr="00BA1DE4" w:rsidTr="004B5303">
        <w:trPr>
          <w:trHeight w:val="327"/>
        </w:trPr>
        <w:tc>
          <w:tcPr>
            <w:tcW w:w="2235" w:type="dxa"/>
          </w:tcPr>
          <w:p w:rsidR="00D13B81" w:rsidRPr="00B26183" w:rsidRDefault="00D13B81" w:rsidP="004B5303">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D13B81" w:rsidRPr="00B26183" w:rsidRDefault="00D13B81" w:rsidP="004B5303">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D13B81" w:rsidRPr="00B26183" w:rsidRDefault="00D13B81" w:rsidP="004B5303">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D13B81" w:rsidRPr="00B26183" w:rsidRDefault="00D13B81" w:rsidP="004B5303">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D13B81" w:rsidRPr="00BA1DE4" w:rsidTr="004B5303">
        <w:trPr>
          <w:trHeight w:val="551"/>
        </w:trPr>
        <w:tc>
          <w:tcPr>
            <w:tcW w:w="2235" w:type="dxa"/>
          </w:tcPr>
          <w:p w:rsidR="00D13B81" w:rsidRPr="00B80D7C" w:rsidRDefault="00D13B81" w:rsidP="004B5303">
            <w:pPr>
              <w:tabs>
                <w:tab w:val="left" w:pos="2835"/>
              </w:tabs>
              <w:spacing w:before="0" w:line="19" w:lineRule="atLeast"/>
              <w:jc w:val="center"/>
              <w:rPr>
                <w:rFonts w:ascii="Tahoma" w:eastAsia="Times New Roman" w:hAnsi="Tahoma" w:cs="Tahoma"/>
                <w:bCs/>
                <w:color w:val="auto"/>
                <w:sz w:val="20"/>
                <w:szCs w:val="20"/>
                <w:vertAlign w:val="subscript"/>
              </w:rPr>
            </w:pPr>
            <w:r w:rsidRPr="00B80D7C">
              <w:rPr>
                <w:rFonts w:ascii="Tahoma" w:hAnsi="Tahoma" w:cs="Tahoma"/>
                <w:color w:val="auto"/>
              </w:rPr>
              <w:t>$7.700.691.797.oo</w:t>
            </w:r>
          </w:p>
        </w:tc>
        <w:tc>
          <w:tcPr>
            <w:tcW w:w="2268" w:type="dxa"/>
          </w:tcPr>
          <w:p w:rsidR="00D13B81" w:rsidRPr="00B80D7C" w:rsidRDefault="00D13B81" w:rsidP="004B5303">
            <w:pPr>
              <w:tabs>
                <w:tab w:val="left" w:pos="2835"/>
              </w:tabs>
              <w:spacing w:before="0" w:line="19" w:lineRule="atLeast"/>
              <w:jc w:val="center"/>
              <w:rPr>
                <w:rFonts w:ascii="Tahoma" w:eastAsia="Times New Roman" w:hAnsi="Tahoma" w:cs="Tahoma"/>
                <w:bCs/>
                <w:color w:val="auto"/>
                <w:sz w:val="20"/>
                <w:szCs w:val="20"/>
                <w:vertAlign w:val="subscript"/>
              </w:rPr>
            </w:pPr>
            <w:r w:rsidRPr="00B80D7C">
              <w:rPr>
                <w:rFonts w:ascii="Tahoma" w:eastAsia="Times New Roman" w:hAnsi="Tahoma" w:cs="Tahoma"/>
                <w:bCs/>
                <w:color w:val="auto"/>
              </w:rPr>
              <w:t>$4.523.435.188.oo</w:t>
            </w:r>
          </w:p>
        </w:tc>
        <w:tc>
          <w:tcPr>
            <w:tcW w:w="2126" w:type="dxa"/>
          </w:tcPr>
          <w:p w:rsidR="00D13B81" w:rsidRPr="00B80D7C" w:rsidRDefault="00D13B81" w:rsidP="004B5303">
            <w:pPr>
              <w:tabs>
                <w:tab w:val="left" w:pos="2835"/>
              </w:tabs>
              <w:spacing w:before="0" w:line="19" w:lineRule="atLeast"/>
              <w:jc w:val="center"/>
              <w:rPr>
                <w:rFonts w:ascii="Tahoma" w:eastAsia="Times New Roman" w:hAnsi="Tahoma" w:cs="Tahoma"/>
                <w:bCs/>
                <w:color w:val="auto"/>
                <w:sz w:val="20"/>
                <w:szCs w:val="20"/>
                <w:vertAlign w:val="subscript"/>
              </w:rPr>
            </w:pPr>
            <w:r w:rsidRPr="00B80D7C">
              <w:rPr>
                <w:rFonts w:ascii="Tahoma" w:eastAsia="Times New Roman" w:hAnsi="Tahoma" w:cs="Tahoma"/>
                <w:bCs/>
                <w:color w:val="auto"/>
              </w:rPr>
              <w:t>$13.024.374.oo</w:t>
            </w:r>
          </w:p>
        </w:tc>
        <w:tc>
          <w:tcPr>
            <w:tcW w:w="2428" w:type="dxa"/>
          </w:tcPr>
          <w:p w:rsidR="00D13B81" w:rsidRPr="00AA4D3F" w:rsidRDefault="00D13B81" w:rsidP="004B5303">
            <w:pPr>
              <w:tabs>
                <w:tab w:val="left" w:pos="2835"/>
              </w:tabs>
              <w:spacing w:before="0" w:line="19" w:lineRule="atLeast"/>
              <w:jc w:val="center"/>
              <w:rPr>
                <w:rFonts w:ascii="Tahoma" w:eastAsia="Times New Roman" w:hAnsi="Tahoma" w:cs="Tahoma"/>
                <w:bCs/>
                <w:color w:val="auto"/>
                <w:sz w:val="20"/>
                <w:szCs w:val="20"/>
                <w:vertAlign w:val="subscript"/>
              </w:rPr>
            </w:pPr>
            <w:r w:rsidRPr="00AA4D3F">
              <w:rPr>
                <w:rFonts w:ascii="Tahoma" w:eastAsia="Times New Roman" w:hAnsi="Tahoma" w:cs="Tahoma"/>
                <w:bCs/>
                <w:color w:val="auto"/>
              </w:rPr>
              <w:t xml:space="preserve">$12.211.102.611.oo </w:t>
            </w:r>
          </w:p>
        </w:tc>
      </w:tr>
    </w:tbl>
    <w:p w:rsidR="00D13B81" w:rsidRPr="00256F6A" w:rsidRDefault="00D13B81" w:rsidP="00D13B81">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lastRenderedPageBreak/>
        <w:t>Información tomada de la ejecución presupuestal del Municipio</w:t>
      </w:r>
      <w:r>
        <w:rPr>
          <w:rFonts w:ascii="Tahoma" w:eastAsia="Times New Roman" w:hAnsi="Tahoma" w:cs="Tahoma"/>
          <w:bCs/>
          <w:color w:val="auto"/>
          <w:vertAlign w:val="subscript"/>
        </w:rPr>
        <w:t xml:space="preserve"> vigencia 2015</w:t>
      </w:r>
    </w:p>
    <w:p w:rsidR="009E2C78" w:rsidRDefault="009E2C78" w:rsidP="00D13B81">
      <w:pPr>
        <w:jc w:val="both"/>
        <w:rPr>
          <w:rFonts w:ascii="Tahoma" w:hAnsi="Tahoma" w:cs="Tahoma"/>
          <w:b/>
          <w:bCs/>
        </w:rPr>
      </w:pPr>
    </w:p>
    <w:p w:rsidR="00D13B81" w:rsidRDefault="00D13B81" w:rsidP="00D13B81">
      <w:pPr>
        <w:jc w:val="both"/>
        <w:rPr>
          <w:rFonts w:ascii="Tahoma" w:hAnsi="Tahoma" w:cs="Tahoma"/>
          <w:b/>
          <w:bCs/>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w:t>
      </w:r>
      <w:r w:rsidR="00D62647">
        <w:rPr>
          <w:rFonts w:ascii="Tahoma" w:hAnsi="Tahoma" w:cs="Tahoma"/>
          <w:color w:val="auto"/>
        </w:rPr>
        <w:t xml:space="preserve"> </w:t>
      </w:r>
      <w:r w:rsidR="00D13B81">
        <w:rPr>
          <w:rFonts w:ascii="Tahoma" w:hAnsi="Tahoma" w:cs="Tahoma"/>
          <w:color w:val="auto"/>
        </w:rPr>
        <w:t>Icononzo</w:t>
      </w:r>
      <w:r w:rsidRPr="00C32B9A">
        <w:rPr>
          <w:rFonts w:ascii="Tahoma" w:hAnsi="Tahoma" w:cs="Tahoma"/>
          <w:color w:val="auto"/>
        </w:rPr>
        <w:t>, fue de $</w:t>
      </w:r>
      <w:r w:rsidR="00D13B81">
        <w:rPr>
          <w:rFonts w:ascii="Tahoma" w:hAnsi="Tahoma" w:cs="Tahoma"/>
          <w:color w:val="auto"/>
        </w:rPr>
        <w:t>7.700</w:t>
      </w:r>
      <w:r w:rsidR="00881C9C">
        <w:rPr>
          <w:rFonts w:ascii="Tahoma" w:hAnsi="Tahoma" w:cs="Tahoma"/>
          <w:color w:val="auto"/>
        </w:rPr>
        <w:t xml:space="preserve"> millones</w:t>
      </w:r>
      <w:r w:rsidRPr="00C32B9A">
        <w:rPr>
          <w:rFonts w:ascii="Tahoma" w:hAnsi="Tahoma" w:cs="Tahoma"/>
          <w:color w:val="auto"/>
        </w:rPr>
        <w:t>, de los cuales $</w:t>
      </w:r>
      <w:r w:rsidR="008127B5">
        <w:rPr>
          <w:rFonts w:ascii="Tahoma" w:hAnsi="Tahoma" w:cs="Tahoma"/>
          <w:color w:val="auto"/>
        </w:rPr>
        <w:t>1.543</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8127B5">
        <w:rPr>
          <w:rFonts w:ascii="Tahoma" w:hAnsi="Tahoma" w:cs="Tahoma"/>
          <w:color w:val="auto"/>
        </w:rPr>
        <w:t>20.04</w:t>
      </w:r>
      <w:r w:rsidR="009E2C78">
        <w:rPr>
          <w:rFonts w:ascii="Tahoma" w:hAnsi="Tahoma" w:cs="Tahoma"/>
          <w:color w:val="auto"/>
        </w:rPr>
        <w:t>%</w:t>
      </w:r>
      <w:r w:rsidR="00F96930">
        <w:rPr>
          <w:rFonts w:ascii="Tahoma" w:hAnsi="Tahoma" w:cs="Tahoma"/>
          <w:color w:val="auto"/>
        </w:rPr>
        <w:t xml:space="preserve">, Deuda Pública </w:t>
      </w:r>
      <w:r w:rsidR="008127B5">
        <w:rPr>
          <w:rFonts w:ascii="Tahoma" w:hAnsi="Tahoma" w:cs="Tahoma"/>
          <w:color w:val="auto"/>
        </w:rPr>
        <w:t>$40</w:t>
      </w:r>
      <w:r w:rsidR="00F96930">
        <w:rPr>
          <w:rFonts w:ascii="Tahoma" w:hAnsi="Tahoma" w:cs="Tahoma"/>
          <w:color w:val="auto"/>
        </w:rPr>
        <w:t xml:space="preserve"> millones</w:t>
      </w:r>
      <w:r w:rsidR="008127B5">
        <w:rPr>
          <w:rFonts w:ascii="Tahoma" w:hAnsi="Tahoma" w:cs="Tahoma"/>
          <w:color w:val="auto"/>
        </w:rPr>
        <w:t>, es decir un 0.52%</w:t>
      </w:r>
      <w:r w:rsidR="009E2C78">
        <w:rPr>
          <w:rFonts w:ascii="Tahoma" w:hAnsi="Tahoma" w:cs="Tahoma"/>
          <w:color w:val="auto"/>
        </w:rPr>
        <w:t xml:space="preserve"> </w:t>
      </w:r>
      <w:r w:rsidRPr="00C32B9A">
        <w:rPr>
          <w:rFonts w:ascii="Tahoma" w:hAnsi="Tahoma" w:cs="Tahoma"/>
          <w:color w:val="auto"/>
        </w:rPr>
        <w:t>y Gastos de Inversión</w:t>
      </w:r>
      <w:r w:rsidR="00D62647">
        <w:rPr>
          <w:rFonts w:ascii="Tahoma" w:hAnsi="Tahoma" w:cs="Tahoma"/>
          <w:color w:val="auto"/>
        </w:rPr>
        <w:t xml:space="preserve"> $</w:t>
      </w:r>
      <w:r w:rsidR="008127B5">
        <w:rPr>
          <w:rFonts w:ascii="Tahoma" w:hAnsi="Tahoma" w:cs="Tahoma"/>
          <w:color w:val="auto"/>
        </w:rPr>
        <w:t>6.117</w:t>
      </w:r>
      <w:r w:rsidR="000344EC">
        <w:rPr>
          <w:rFonts w:ascii="Tahoma" w:hAnsi="Tahoma" w:cs="Tahoma"/>
          <w:color w:val="auto"/>
        </w:rPr>
        <w:t xml:space="preserve"> millones</w:t>
      </w:r>
      <w:r w:rsidR="00D62647">
        <w:rPr>
          <w:rFonts w:ascii="Tahoma" w:hAnsi="Tahoma" w:cs="Tahoma"/>
          <w:color w:val="auto"/>
        </w:rPr>
        <w:t xml:space="preserve"> con un </w:t>
      </w:r>
      <w:r w:rsidR="008127B5">
        <w:rPr>
          <w:rFonts w:ascii="Tahoma" w:hAnsi="Tahoma" w:cs="Tahoma"/>
          <w:color w:val="auto"/>
        </w:rPr>
        <w:t>79.44</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drawing>
          <wp:inline distT="0" distB="0" distL="0" distR="0" wp14:anchorId="2408FF4E" wp14:editId="08371CB2">
            <wp:extent cx="5486400" cy="25416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6750E" w:rsidRDefault="00595DA7" w:rsidP="0056750E">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9E77D8">
        <w:rPr>
          <w:rFonts w:ascii="Tahoma" w:hAnsi="Tahoma" w:cs="Tahoma"/>
          <w:color w:val="auto"/>
        </w:rPr>
        <w:t>801</w:t>
      </w:r>
      <w:r w:rsidR="00BD16BE">
        <w:rPr>
          <w:rFonts w:ascii="Tahoma" w:hAnsi="Tahoma" w:cs="Tahoma"/>
          <w:color w:val="auto"/>
        </w:rPr>
        <w:t xml:space="preserve"> </w:t>
      </w:r>
      <w:r w:rsidR="00881C9C">
        <w:rPr>
          <w:rFonts w:ascii="Tahoma" w:hAnsi="Tahoma" w:cs="Tahoma"/>
          <w:color w:val="auto"/>
        </w:rPr>
        <w:t>millones</w:t>
      </w:r>
      <w:r w:rsidR="00815CEE">
        <w:rPr>
          <w:rFonts w:ascii="Tahoma" w:hAnsi="Tahoma" w:cs="Tahoma"/>
          <w:color w:val="auto"/>
        </w:rPr>
        <w:t xml:space="preserve">, </w:t>
      </w:r>
      <w:r w:rsidR="00BD16BE">
        <w:rPr>
          <w:rFonts w:ascii="Tahoma" w:hAnsi="Tahoma" w:cs="Tahoma"/>
          <w:color w:val="auto"/>
        </w:rPr>
        <w:t>T</w:t>
      </w:r>
      <w:r w:rsidR="00BE515D">
        <w:rPr>
          <w:rFonts w:ascii="Tahoma" w:hAnsi="Tahoma" w:cs="Tahoma"/>
          <w:color w:val="auto"/>
        </w:rPr>
        <w:t>ransferencias</w:t>
      </w:r>
      <w:r w:rsidR="00815CEE" w:rsidRPr="003539AE">
        <w:rPr>
          <w:rFonts w:ascii="Tahoma" w:hAnsi="Tahoma" w:cs="Tahoma"/>
          <w:color w:val="auto"/>
        </w:rPr>
        <w:t xml:space="preserve"> $</w:t>
      </w:r>
      <w:r w:rsidR="009E77D8">
        <w:rPr>
          <w:rFonts w:ascii="Tahoma" w:hAnsi="Tahoma" w:cs="Tahoma"/>
          <w:color w:val="auto"/>
        </w:rPr>
        <w:t>503</w:t>
      </w:r>
      <w:r w:rsidR="00881C9C" w:rsidRPr="003539AE">
        <w:rPr>
          <w:rFonts w:ascii="Tahoma" w:hAnsi="Tahoma" w:cs="Tahoma"/>
          <w:color w:val="auto"/>
        </w:rPr>
        <w:t xml:space="preserve"> millones</w:t>
      </w:r>
      <w:r w:rsidR="00BD16BE">
        <w:rPr>
          <w:rFonts w:ascii="Tahoma" w:hAnsi="Tahoma" w:cs="Tahoma"/>
          <w:color w:val="auto"/>
        </w:rPr>
        <w:t xml:space="preserve">  y </w:t>
      </w:r>
      <w:r w:rsidR="005325B4" w:rsidRPr="003539AE">
        <w:rPr>
          <w:rFonts w:ascii="Tahoma" w:hAnsi="Tahoma" w:cs="Tahoma"/>
          <w:color w:val="auto"/>
        </w:rPr>
        <w:t>Gastos Generales</w:t>
      </w:r>
      <w:r w:rsidR="00881C9C" w:rsidRPr="003539AE">
        <w:rPr>
          <w:rFonts w:ascii="Tahoma" w:hAnsi="Tahoma" w:cs="Tahoma"/>
          <w:color w:val="auto"/>
        </w:rPr>
        <w:t xml:space="preserve"> $</w:t>
      </w:r>
      <w:r w:rsidR="009E77D8">
        <w:rPr>
          <w:rFonts w:ascii="Tahoma" w:hAnsi="Tahoma" w:cs="Tahoma"/>
          <w:color w:val="auto"/>
        </w:rPr>
        <w:t>238</w:t>
      </w:r>
      <w:r w:rsidR="00881C9C" w:rsidRPr="003539AE">
        <w:rPr>
          <w:rFonts w:ascii="Tahoma" w:hAnsi="Tahoma" w:cs="Tahoma"/>
          <w:color w:val="auto"/>
        </w:rPr>
        <w:t xml:space="preserve"> millones</w:t>
      </w:r>
      <w:r w:rsidR="0056750E">
        <w:rPr>
          <w:rFonts w:ascii="Tahoma" w:hAnsi="Tahoma" w:cs="Tahoma"/>
          <w:color w:val="auto"/>
        </w:rPr>
        <w:t>.</w:t>
      </w:r>
    </w:p>
    <w:p w:rsidR="00B5293B" w:rsidRDefault="00B5293B" w:rsidP="0056750E">
      <w:pPr>
        <w:spacing w:before="0" w:after="0"/>
        <w:jc w:val="both"/>
        <w:rPr>
          <w:rFonts w:ascii="Tahoma" w:hAnsi="Tahoma" w:cs="Tahoma"/>
          <w:color w:val="auto"/>
        </w:rPr>
      </w:pPr>
    </w:p>
    <w:p w:rsidR="00EE108B" w:rsidRDefault="00595DA7" w:rsidP="00595DA7">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690E68">
        <w:rPr>
          <w:rFonts w:ascii="Tahoma" w:hAnsi="Tahoma" w:cs="Tahoma"/>
          <w:color w:val="auto"/>
        </w:rPr>
        <w:t xml:space="preserve">Sector </w:t>
      </w:r>
      <w:r w:rsidR="009E77D8">
        <w:rPr>
          <w:rFonts w:ascii="Tahoma" w:hAnsi="Tahoma" w:cs="Tahoma"/>
          <w:color w:val="auto"/>
        </w:rPr>
        <w:t xml:space="preserve">Justicia $77 millones, </w:t>
      </w:r>
      <w:r w:rsidR="00690E68">
        <w:rPr>
          <w:rFonts w:ascii="Tahoma" w:hAnsi="Tahoma" w:cs="Tahoma"/>
          <w:color w:val="auto"/>
        </w:rPr>
        <w:t xml:space="preserve">Salud </w:t>
      </w:r>
      <w:r w:rsidR="009E77D8">
        <w:rPr>
          <w:rFonts w:ascii="Tahoma" w:hAnsi="Tahoma" w:cs="Tahoma"/>
          <w:color w:val="auto"/>
        </w:rPr>
        <w:t xml:space="preserve">$3.999 millones, </w:t>
      </w:r>
      <w:r w:rsidR="005C0BE3">
        <w:rPr>
          <w:rFonts w:ascii="Tahoma" w:hAnsi="Tahoma" w:cs="Tahoma"/>
          <w:color w:val="auto"/>
        </w:rPr>
        <w:t xml:space="preserve">Sector Educación </w:t>
      </w:r>
      <w:r w:rsidR="009E77D8">
        <w:rPr>
          <w:rFonts w:ascii="Tahoma" w:hAnsi="Tahoma" w:cs="Tahoma"/>
          <w:color w:val="auto"/>
        </w:rPr>
        <w:t>$603 millones, Sector Gobierno</w:t>
      </w:r>
      <w:r w:rsidR="00CF1C5E">
        <w:rPr>
          <w:rFonts w:ascii="Tahoma" w:hAnsi="Tahoma" w:cs="Tahoma"/>
          <w:color w:val="auto"/>
        </w:rPr>
        <w:t xml:space="preserve"> $144 millones, </w:t>
      </w:r>
      <w:r w:rsidR="008C10F9">
        <w:rPr>
          <w:rFonts w:ascii="Tahoma" w:hAnsi="Tahoma" w:cs="Tahoma"/>
          <w:color w:val="auto"/>
        </w:rPr>
        <w:t xml:space="preserve">Saneamiento básico </w:t>
      </w:r>
      <w:r w:rsidR="00CF1C5E">
        <w:rPr>
          <w:rFonts w:ascii="Tahoma" w:hAnsi="Tahoma" w:cs="Tahoma"/>
          <w:color w:val="auto"/>
        </w:rPr>
        <w:t xml:space="preserve">$504 millones, Arte y cultura $119 millones, Deporte $70 millones </w:t>
      </w:r>
      <w:r w:rsidR="00EE108B">
        <w:rPr>
          <w:rFonts w:ascii="Tahoma" w:hAnsi="Tahoma" w:cs="Tahoma"/>
          <w:color w:val="auto"/>
        </w:rPr>
        <w:t>y otros sectores</w:t>
      </w:r>
      <w:r w:rsidR="00CF1C5E">
        <w:rPr>
          <w:rFonts w:ascii="Tahoma" w:hAnsi="Tahoma" w:cs="Tahoma"/>
          <w:color w:val="auto"/>
        </w:rPr>
        <w:t xml:space="preserve"> $14 millones. </w:t>
      </w:r>
    </w:p>
    <w:p w:rsidR="009E77D8" w:rsidRDefault="009E77D8" w:rsidP="00595DA7">
      <w:pPr>
        <w:spacing w:before="0" w:after="0"/>
        <w:jc w:val="both"/>
        <w:rPr>
          <w:rFonts w:ascii="Tahoma" w:hAnsi="Tahoma" w:cs="Tahoma"/>
          <w:color w:val="auto"/>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w:t>
      </w:r>
      <w:r w:rsidR="008871D1">
        <w:rPr>
          <w:rFonts w:ascii="Tahoma" w:hAnsi="Tahoma" w:cs="Tahoma"/>
          <w:color w:val="auto"/>
        </w:rPr>
        <w:t>Icononzo</w:t>
      </w:r>
      <w:r w:rsidR="0000440B">
        <w:rPr>
          <w:rFonts w:ascii="Tahoma" w:hAnsi="Tahoma" w:cs="Tahoma"/>
          <w:szCs w:val="24"/>
        </w:rPr>
        <w:t xml:space="preserve"> </w:t>
      </w:r>
      <w:r>
        <w:rPr>
          <w:rFonts w:ascii="Tahoma" w:hAnsi="Tahoma" w:cs="Tahoma"/>
          <w:szCs w:val="24"/>
        </w:rPr>
        <w:t xml:space="preserve">de </w:t>
      </w:r>
      <w:r w:rsidR="00595DA7">
        <w:rPr>
          <w:rFonts w:ascii="Tahoma" w:hAnsi="Tahoma" w:cs="Tahoma"/>
          <w:szCs w:val="24"/>
        </w:rPr>
        <w:t>la vigencia 2015, presentó Adiciones pres</w:t>
      </w:r>
      <w:r w:rsidR="0096177F">
        <w:rPr>
          <w:rFonts w:ascii="Tahoma" w:hAnsi="Tahoma" w:cs="Tahoma"/>
          <w:szCs w:val="24"/>
        </w:rPr>
        <w:t>upuestales en la suma de $</w:t>
      </w:r>
      <w:r w:rsidR="009C4C48">
        <w:rPr>
          <w:rFonts w:ascii="Tahoma" w:hAnsi="Tahoma" w:cs="Tahoma"/>
          <w:szCs w:val="24"/>
        </w:rPr>
        <w:t>5.804</w:t>
      </w:r>
      <w:r w:rsidR="0000440B">
        <w:rPr>
          <w:rFonts w:ascii="Tahoma" w:hAnsi="Tahoma" w:cs="Tahoma"/>
          <w:szCs w:val="24"/>
        </w:rPr>
        <w:t xml:space="preserve"> </w:t>
      </w:r>
      <w:r w:rsidR="00264A57">
        <w:rPr>
          <w:rFonts w:ascii="Tahoma" w:hAnsi="Tahoma" w:cs="Tahoma"/>
          <w:szCs w:val="24"/>
        </w:rPr>
        <w:t>millones</w:t>
      </w:r>
      <w:r w:rsidR="00570EEE">
        <w:rPr>
          <w:rFonts w:ascii="Tahoma" w:hAnsi="Tahoma" w:cs="Tahoma"/>
          <w:szCs w:val="24"/>
        </w:rPr>
        <w:t xml:space="preserve">, </w:t>
      </w:r>
      <w:r w:rsidR="00595DA7">
        <w:rPr>
          <w:rFonts w:ascii="Tahoma" w:hAnsi="Tahoma" w:cs="Tahoma"/>
          <w:szCs w:val="24"/>
        </w:rPr>
        <w:t>reducciones en la suma de $</w:t>
      </w:r>
      <w:r w:rsidR="008871D1">
        <w:rPr>
          <w:rFonts w:ascii="Tahoma" w:hAnsi="Tahoma" w:cs="Tahoma"/>
          <w:szCs w:val="24"/>
        </w:rPr>
        <w:t>13</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8871D1">
        <w:rPr>
          <w:rFonts w:ascii="Tahoma" w:hAnsi="Tahoma" w:cs="Tahoma"/>
          <w:szCs w:val="24"/>
        </w:rPr>
        <w:t>788</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9C4C48">
        <w:rPr>
          <w:rFonts w:ascii="Tahoma" w:hAnsi="Tahoma" w:cs="Tahoma"/>
          <w:szCs w:val="24"/>
        </w:rPr>
        <w:t xml:space="preserve">13.491 </w:t>
      </w:r>
      <w:r w:rsidR="00264A57">
        <w:rPr>
          <w:rFonts w:ascii="Tahoma" w:hAnsi="Tahoma" w:cs="Tahoma"/>
          <w:szCs w:val="24"/>
        </w:rPr>
        <w:t>millones.</w:t>
      </w:r>
    </w:p>
    <w:p w:rsidR="00264A57" w:rsidRDefault="00264A57" w:rsidP="00595DA7">
      <w:pPr>
        <w:tabs>
          <w:tab w:val="left" w:pos="5696"/>
        </w:tabs>
        <w:spacing w:before="0" w:after="0"/>
        <w:jc w:val="both"/>
        <w:rPr>
          <w:rFonts w:ascii="Tahoma" w:hAnsi="Tahoma" w:cs="Tahoma"/>
          <w:szCs w:val="24"/>
        </w:rPr>
      </w:pPr>
    </w:p>
    <w:p w:rsidR="009B59DD" w:rsidRDefault="009B59DD" w:rsidP="00595DA7">
      <w:pPr>
        <w:tabs>
          <w:tab w:val="left" w:pos="5696"/>
        </w:tabs>
        <w:spacing w:before="0" w:after="0"/>
        <w:jc w:val="both"/>
        <w:rPr>
          <w:rFonts w:ascii="Tahoma" w:hAnsi="Tahoma" w:cs="Tahoma"/>
          <w:szCs w:val="24"/>
        </w:rPr>
      </w:pPr>
    </w:p>
    <w:p w:rsidR="009B59DD" w:rsidRDefault="009B59DD" w:rsidP="00595DA7">
      <w:pPr>
        <w:tabs>
          <w:tab w:val="left" w:pos="5696"/>
        </w:tabs>
        <w:spacing w:before="0" w:after="0"/>
        <w:jc w:val="both"/>
        <w:rPr>
          <w:rFonts w:ascii="Tahoma" w:hAnsi="Tahoma" w:cs="Tahoma"/>
          <w:szCs w:val="24"/>
        </w:rPr>
      </w:pPr>
    </w:p>
    <w:p w:rsidR="009B59DD" w:rsidRDefault="009B59DD" w:rsidP="00595DA7">
      <w:pPr>
        <w:tabs>
          <w:tab w:val="left" w:pos="5696"/>
        </w:tabs>
        <w:spacing w:before="0" w:after="0"/>
        <w:jc w:val="both"/>
        <w:rPr>
          <w:rFonts w:ascii="Tahoma" w:hAnsi="Tahoma" w:cs="Tahoma"/>
          <w:szCs w:val="24"/>
        </w:rPr>
      </w:pPr>
    </w:p>
    <w:p w:rsidR="009B59DD" w:rsidRDefault="009B59DD" w:rsidP="00595DA7">
      <w:pPr>
        <w:tabs>
          <w:tab w:val="left" w:pos="5696"/>
        </w:tabs>
        <w:spacing w:before="0" w:after="0"/>
        <w:jc w:val="both"/>
        <w:rPr>
          <w:rFonts w:ascii="Tahoma" w:hAnsi="Tahoma" w:cs="Tahoma"/>
          <w:szCs w:val="24"/>
        </w:rPr>
      </w:pPr>
    </w:p>
    <w:p w:rsidR="009E77D8" w:rsidRDefault="009E77D8" w:rsidP="00595DA7">
      <w:pPr>
        <w:tabs>
          <w:tab w:val="left" w:pos="5696"/>
        </w:tabs>
        <w:spacing w:before="0" w:after="0"/>
        <w:jc w:val="both"/>
        <w:rPr>
          <w:rFonts w:ascii="Tahoma" w:hAnsi="Tahoma" w:cs="Tahoma"/>
          <w:szCs w:val="24"/>
        </w:rPr>
      </w:pPr>
    </w:p>
    <w:p w:rsid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3138C">
        <w:rPr>
          <w:rFonts w:ascii="Tahoma" w:hAnsi="Tahoma" w:cs="Tahoma"/>
          <w:b/>
          <w:szCs w:val="24"/>
        </w:rPr>
        <w:t xml:space="preserve"> E INVERSION</w:t>
      </w:r>
    </w:p>
    <w:p w:rsidR="009B59DD" w:rsidRPr="00E324E3" w:rsidRDefault="009B59DD" w:rsidP="00595DA7">
      <w:pPr>
        <w:tabs>
          <w:tab w:val="left" w:pos="5696"/>
        </w:tabs>
        <w:spacing w:before="0" w:after="0"/>
        <w:jc w:val="both"/>
        <w:rPr>
          <w:rFonts w:ascii="Tahoma" w:hAnsi="Tahoma" w:cs="Tahoma"/>
          <w:b/>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9B59DD">
        <w:rPr>
          <w:rFonts w:ascii="Tahoma" w:hAnsi="Tahoma" w:cs="Tahoma"/>
          <w:szCs w:val="24"/>
        </w:rPr>
        <w:t>6.84</w:t>
      </w:r>
      <w:r>
        <w:rPr>
          <w:rFonts w:ascii="Tahoma" w:hAnsi="Tahoma" w:cs="Tahoma"/>
          <w:szCs w:val="24"/>
        </w:rPr>
        <w:t>%, es decir la suma de $</w:t>
      </w:r>
      <w:r w:rsidR="009B59DD">
        <w:rPr>
          <w:rFonts w:ascii="Tahoma" w:hAnsi="Tahoma" w:cs="Tahoma"/>
          <w:szCs w:val="24"/>
        </w:rPr>
        <w:t>105</w:t>
      </w:r>
      <w:r w:rsidR="00264A57">
        <w:rPr>
          <w:rFonts w:ascii="Tahoma" w:hAnsi="Tahoma" w:cs="Tahoma"/>
          <w:szCs w:val="24"/>
        </w:rPr>
        <w:t xml:space="preserve"> millones</w:t>
      </w:r>
      <w:r>
        <w:rPr>
          <w:rFonts w:ascii="Tahoma" w:hAnsi="Tahoma" w:cs="Tahoma"/>
          <w:szCs w:val="24"/>
        </w:rPr>
        <w:t xml:space="preserve"> y los gastos de Inversión en un </w:t>
      </w:r>
      <w:r w:rsidR="009B59DD">
        <w:rPr>
          <w:rFonts w:ascii="Tahoma" w:hAnsi="Tahoma" w:cs="Tahoma"/>
          <w:szCs w:val="24"/>
        </w:rPr>
        <w:t>88.85</w:t>
      </w:r>
      <w:r w:rsidR="002B6D05">
        <w:rPr>
          <w:rFonts w:ascii="Tahoma" w:hAnsi="Tahoma" w:cs="Tahoma"/>
          <w:szCs w:val="24"/>
        </w:rPr>
        <w:t>%</w:t>
      </w:r>
      <w:r>
        <w:rPr>
          <w:rFonts w:ascii="Tahoma" w:hAnsi="Tahoma" w:cs="Tahoma"/>
          <w:szCs w:val="24"/>
        </w:rPr>
        <w:t>, equivalentes a $</w:t>
      </w:r>
      <w:r w:rsidR="009B59DD">
        <w:rPr>
          <w:rFonts w:ascii="Tahoma" w:hAnsi="Tahoma" w:cs="Tahoma"/>
          <w:szCs w:val="24"/>
        </w:rPr>
        <w:t>5.698</w:t>
      </w:r>
      <w:r w:rsidR="002B6D05">
        <w:rPr>
          <w:rFonts w:ascii="Tahoma" w:hAnsi="Tahoma" w:cs="Tahoma"/>
          <w:szCs w:val="24"/>
        </w:rPr>
        <w:t xml:space="preserve"> </w:t>
      </w:r>
      <w:r w:rsidR="00264A57">
        <w:rPr>
          <w:rFonts w:ascii="Tahoma" w:hAnsi="Tahoma" w:cs="Tahoma"/>
          <w:szCs w:val="24"/>
        </w:rPr>
        <w:t>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B03114"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sidR="00B03114">
        <w:rPr>
          <w:rFonts w:ascii="Tahoma" w:hAnsi="Tahoma" w:cs="Tahoma"/>
          <w:color w:val="auto"/>
          <w:szCs w:val="16"/>
        </w:rPr>
        <w:t>:</w:t>
      </w:r>
      <w:r w:rsidR="000043A7">
        <w:rPr>
          <w:rFonts w:ascii="Tahoma" w:hAnsi="Tahoma" w:cs="Tahoma"/>
          <w:color w:val="auto"/>
          <w:szCs w:val="16"/>
        </w:rPr>
        <w:t xml:space="preserve"> Sector </w:t>
      </w:r>
      <w:r w:rsidR="009B59DD">
        <w:rPr>
          <w:rFonts w:ascii="Tahoma" w:hAnsi="Tahoma" w:cs="Tahoma"/>
          <w:color w:val="auto"/>
          <w:szCs w:val="16"/>
        </w:rPr>
        <w:t xml:space="preserve">Justicia $1.066 </w:t>
      </w:r>
      <w:r w:rsidR="00272E50">
        <w:rPr>
          <w:rFonts w:ascii="Tahoma" w:hAnsi="Tahoma" w:cs="Tahoma"/>
          <w:color w:val="auto"/>
          <w:szCs w:val="16"/>
        </w:rPr>
        <w:t>millones</w:t>
      </w:r>
      <w:r w:rsidR="00EA42EC">
        <w:rPr>
          <w:rFonts w:ascii="Tahoma" w:hAnsi="Tahoma" w:cs="Tahoma"/>
          <w:color w:val="auto"/>
          <w:szCs w:val="16"/>
        </w:rPr>
        <w:t>, Sector Salud $</w:t>
      </w:r>
      <w:r w:rsidR="009B59DD">
        <w:rPr>
          <w:rFonts w:ascii="Tahoma" w:hAnsi="Tahoma" w:cs="Tahoma"/>
          <w:color w:val="auto"/>
          <w:szCs w:val="16"/>
        </w:rPr>
        <w:t>322</w:t>
      </w:r>
      <w:r w:rsidR="00EA42EC">
        <w:rPr>
          <w:rFonts w:ascii="Tahoma" w:hAnsi="Tahoma" w:cs="Tahoma"/>
          <w:color w:val="auto"/>
          <w:szCs w:val="16"/>
        </w:rPr>
        <w:t xml:space="preserve"> millones, </w:t>
      </w:r>
      <w:r w:rsidR="009B59DD">
        <w:rPr>
          <w:rFonts w:ascii="Tahoma" w:hAnsi="Tahoma" w:cs="Tahoma"/>
          <w:color w:val="auto"/>
          <w:szCs w:val="16"/>
        </w:rPr>
        <w:t xml:space="preserve">Sector Transporte $1.144 millones, </w:t>
      </w:r>
      <w:r w:rsidR="00EA42EC">
        <w:rPr>
          <w:rFonts w:ascii="Tahoma" w:hAnsi="Tahoma" w:cs="Tahoma"/>
          <w:color w:val="auto"/>
          <w:szCs w:val="16"/>
        </w:rPr>
        <w:t>Sector Saneamiento básico $</w:t>
      </w:r>
      <w:r w:rsidR="009B59DD">
        <w:rPr>
          <w:rFonts w:ascii="Tahoma" w:hAnsi="Tahoma" w:cs="Tahoma"/>
          <w:color w:val="auto"/>
          <w:szCs w:val="16"/>
        </w:rPr>
        <w:t>1.014</w:t>
      </w:r>
      <w:r w:rsidR="00EA42EC">
        <w:rPr>
          <w:rFonts w:ascii="Tahoma" w:hAnsi="Tahoma" w:cs="Tahoma"/>
          <w:color w:val="auto"/>
          <w:szCs w:val="16"/>
        </w:rPr>
        <w:t xml:space="preserve"> millones.</w:t>
      </w:r>
    </w:p>
    <w:p w:rsidR="00B03114" w:rsidRDefault="00B03114" w:rsidP="001D6862">
      <w:pPr>
        <w:spacing w:before="0" w:after="0"/>
        <w:jc w:val="both"/>
        <w:rPr>
          <w:rFonts w:ascii="Tahoma" w:hAnsi="Tahoma" w:cs="Tahoma"/>
          <w:color w:val="auto"/>
          <w:szCs w:val="16"/>
        </w:rPr>
      </w:pPr>
    </w:p>
    <w:p w:rsidR="00FE1ACA" w:rsidRDefault="00FE1ACA" w:rsidP="00B92753">
      <w:pPr>
        <w:spacing w:before="0" w:after="0"/>
        <w:jc w:val="center"/>
        <w:rPr>
          <w:noProof/>
          <w:lang w:val="es-ES" w:eastAsia="es-ES"/>
        </w:rPr>
      </w:pPr>
    </w:p>
    <w:p w:rsidR="00FE1ACA" w:rsidRDefault="00FE1ACA" w:rsidP="00B92753">
      <w:pPr>
        <w:spacing w:before="0" w:after="0"/>
        <w:jc w:val="center"/>
        <w:rPr>
          <w:noProof/>
          <w:lang w:val="es-ES" w:eastAsia="es-ES"/>
        </w:rPr>
      </w:pPr>
      <w:r>
        <w:rPr>
          <w:noProof/>
        </w:rPr>
        <w:drawing>
          <wp:inline distT="0" distB="0" distL="0" distR="0" wp14:anchorId="576F2A03" wp14:editId="5EABAA34">
            <wp:extent cx="4945380" cy="2796540"/>
            <wp:effectExtent l="0" t="0" r="26670" b="2286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E1ACA" w:rsidRDefault="00FE1ACA"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A03A61"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9A6D77">
        <w:rPr>
          <w:rFonts w:ascii="Tahoma" w:hAnsi="Tahoma" w:cs="Tahoma"/>
          <w:color w:val="auto"/>
        </w:rPr>
        <w:t>Icononzo</w:t>
      </w:r>
      <w:r w:rsidR="003C2C8D">
        <w:rPr>
          <w:rFonts w:ascii="Tahoma" w:hAnsi="Tahoma" w:cs="Tahoma"/>
          <w:szCs w:val="24"/>
        </w:rPr>
        <w:t xml:space="preserve"> </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4E518A">
        <w:rPr>
          <w:rFonts w:ascii="Tahoma" w:hAnsi="Tahoma" w:cs="Tahoma"/>
          <w:color w:val="auto"/>
        </w:rPr>
        <w:t>10.608</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0B0BC7">
        <w:rPr>
          <w:rFonts w:ascii="Tahoma" w:hAnsi="Tahoma" w:cs="Tahoma"/>
          <w:bCs/>
          <w:color w:val="auto"/>
        </w:rPr>
        <w:t>1.</w:t>
      </w:r>
      <w:r w:rsidR="00A03A61">
        <w:rPr>
          <w:rFonts w:ascii="Tahoma" w:hAnsi="Tahoma" w:cs="Tahoma"/>
          <w:bCs/>
          <w:color w:val="auto"/>
        </w:rPr>
        <w:t>476</w:t>
      </w:r>
      <w:r w:rsidR="00264A57">
        <w:rPr>
          <w:rFonts w:ascii="Tahoma" w:hAnsi="Tahoma" w:cs="Tahoma"/>
          <w:bCs/>
          <w:color w:val="auto"/>
        </w:rPr>
        <w:t xml:space="preserve"> millones</w:t>
      </w:r>
      <w:r w:rsidR="006A72BA">
        <w:rPr>
          <w:rFonts w:ascii="Tahoma" w:hAnsi="Tahoma" w:cs="Tahoma"/>
          <w:bCs/>
          <w:color w:val="auto"/>
        </w:rPr>
        <w:t>,</w:t>
      </w:r>
      <w:r w:rsidR="00F82FBA">
        <w:rPr>
          <w:rFonts w:ascii="Tahoma" w:hAnsi="Tahoma" w:cs="Tahoma"/>
          <w:bCs/>
          <w:color w:val="auto"/>
        </w:rPr>
        <w:t xml:space="preserve"> Deuda Pública</w:t>
      </w:r>
      <w:r w:rsidR="000B0BC7">
        <w:rPr>
          <w:rFonts w:ascii="Tahoma" w:hAnsi="Tahoma" w:cs="Tahoma"/>
          <w:bCs/>
          <w:color w:val="auto"/>
        </w:rPr>
        <w:t xml:space="preserve"> </w:t>
      </w:r>
      <w:r w:rsidR="00F82FBA">
        <w:rPr>
          <w:rFonts w:ascii="Tahoma" w:hAnsi="Tahoma" w:cs="Tahoma"/>
          <w:bCs/>
          <w:color w:val="auto"/>
        </w:rPr>
        <w:t xml:space="preserve"> </w:t>
      </w:r>
      <w:r w:rsidR="000B0BC7">
        <w:rPr>
          <w:rFonts w:ascii="Tahoma" w:hAnsi="Tahoma" w:cs="Tahoma"/>
          <w:bCs/>
          <w:color w:val="auto"/>
        </w:rPr>
        <w:t>$11</w:t>
      </w:r>
      <w:r w:rsidR="00F82FBA">
        <w:rPr>
          <w:rFonts w:ascii="Tahoma" w:hAnsi="Tahoma" w:cs="Tahoma"/>
          <w:bCs/>
          <w:color w:val="auto"/>
        </w:rPr>
        <w:t xml:space="preserve"> millones e</w:t>
      </w:r>
      <w:r w:rsidR="00EA458B">
        <w:rPr>
          <w:rFonts w:ascii="Tahoma" w:hAnsi="Tahoma" w:cs="Tahoma"/>
          <w:bCs/>
          <w:color w:val="auto"/>
        </w:rPr>
        <w:t xml:space="preserve"> </w:t>
      </w:r>
      <w:r w:rsidRPr="00B65E8C">
        <w:rPr>
          <w:rFonts w:ascii="Tahoma" w:hAnsi="Tahoma" w:cs="Tahoma"/>
          <w:bCs/>
          <w:color w:val="auto"/>
        </w:rPr>
        <w:t xml:space="preserve"> Inversión </w:t>
      </w:r>
      <w:r w:rsidR="009C7A81">
        <w:rPr>
          <w:rFonts w:ascii="Tahoma" w:hAnsi="Tahoma" w:cs="Tahoma"/>
          <w:bCs/>
          <w:color w:val="auto"/>
        </w:rPr>
        <w:t xml:space="preserve">en la suma </w:t>
      </w:r>
      <w:r w:rsidRPr="00B65E8C">
        <w:rPr>
          <w:rFonts w:ascii="Tahoma" w:hAnsi="Tahoma" w:cs="Tahoma"/>
          <w:bCs/>
          <w:color w:val="auto"/>
        </w:rPr>
        <w:t>de $</w:t>
      </w:r>
      <w:r w:rsidR="00A03A61">
        <w:rPr>
          <w:rFonts w:ascii="Tahoma" w:hAnsi="Tahoma" w:cs="Tahoma"/>
          <w:bCs/>
          <w:color w:val="auto"/>
        </w:rPr>
        <w:t>9.1</w:t>
      </w:r>
      <w:r w:rsidR="005E0758">
        <w:rPr>
          <w:rFonts w:ascii="Tahoma" w:hAnsi="Tahoma" w:cs="Tahoma"/>
          <w:bCs/>
          <w:color w:val="auto"/>
        </w:rPr>
        <w:t>20</w:t>
      </w:r>
      <w:r w:rsidR="00264A57">
        <w:rPr>
          <w:rFonts w:ascii="Tahoma" w:hAnsi="Tahoma" w:cs="Tahoma"/>
          <w:bCs/>
          <w:color w:val="auto"/>
        </w:rPr>
        <w:t xml:space="preserve"> millones</w:t>
      </w:r>
      <w:r w:rsidR="00F82FBA">
        <w:rPr>
          <w:rFonts w:ascii="Tahoma" w:hAnsi="Tahoma" w:cs="Tahoma"/>
          <w:bCs/>
          <w:color w:val="auto"/>
        </w:rPr>
        <w:t>.</w:t>
      </w:r>
      <w:r w:rsidR="00BA7D30">
        <w:rPr>
          <w:rFonts w:ascii="Tahoma" w:hAnsi="Tahoma" w:cs="Tahoma"/>
          <w:bCs/>
          <w:color w:val="auto"/>
        </w:rPr>
        <w:t xml:space="preserve"> Ver Tabla.</w:t>
      </w:r>
    </w:p>
    <w:p w:rsidR="00CD3A6C" w:rsidRDefault="00C01693" w:rsidP="00C01693">
      <w:pPr>
        <w:spacing w:before="0" w:after="0"/>
        <w:jc w:val="both"/>
        <w:rPr>
          <w:rFonts w:ascii="Tahoma" w:hAnsi="Tahoma" w:cs="Tahoma"/>
          <w:bCs/>
          <w:color w:val="auto"/>
        </w:rPr>
      </w:pPr>
      <w:r>
        <w:rPr>
          <w:rFonts w:ascii="Tahoma" w:hAnsi="Tahoma" w:cs="Tahoma"/>
          <w:bCs/>
          <w:color w:val="auto"/>
        </w:rPr>
        <w:lastRenderedPageBreak/>
        <w:t xml:space="preserve">  </w:t>
      </w:r>
      <w:r w:rsidR="00A03A61">
        <w:rPr>
          <w:rFonts w:ascii="Tahoma" w:hAnsi="Tahoma" w:cs="Tahoma"/>
          <w:bCs/>
          <w:noProof/>
          <w:color w:val="auto"/>
        </w:rPr>
        <w:drawing>
          <wp:inline distT="0" distB="0" distL="0" distR="0">
            <wp:extent cx="5486400" cy="3200400"/>
            <wp:effectExtent l="0" t="0" r="19050" b="1905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956AB" w:rsidRDefault="008956AB" w:rsidP="00C01693">
      <w:pPr>
        <w:spacing w:before="0" w:after="0"/>
        <w:jc w:val="both"/>
        <w:rPr>
          <w:rFonts w:ascii="Tahoma" w:hAnsi="Tahoma" w:cs="Tahoma"/>
          <w:bCs/>
          <w:color w:val="auto"/>
        </w:rPr>
      </w:pPr>
    </w:p>
    <w:p w:rsidR="004F38FE" w:rsidRDefault="004F38FE" w:rsidP="008C11BF">
      <w:pPr>
        <w:spacing w:before="0" w:after="0"/>
        <w:jc w:val="center"/>
        <w:rPr>
          <w:noProof/>
        </w:rPr>
      </w:pPr>
    </w:p>
    <w:p w:rsidR="000B0BC7" w:rsidRDefault="000B0BC7" w:rsidP="008C11BF">
      <w:pPr>
        <w:spacing w:before="0" w:after="0"/>
        <w:jc w:val="center"/>
        <w:rPr>
          <w:noProof/>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0B0BC7">
        <w:rPr>
          <w:rFonts w:ascii="Tahoma" w:hAnsi="Tahoma" w:cs="Tahoma"/>
          <w:color w:val="auto"/>
        </w:rPr>
        <w:t>Icononzo</w:t>
      </w:r>
      <w:r w:rsidR="00F82FBA">
        <w:t xml:space="preserve"> </w:t>
      </w:r>
      <w:r w:rsidR="00C47D9E">
        <w:t>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EE23CA" w:rsidRDefault="00EE23CA" w:rsidP="00741448">
      <w:pPr>
        <w:pStyle w:val="NormalWeb"/>
        <w:spacing w:before="0" w:beforeAutospacing="0" w:after="0" w:afterAutospacing="0"/>
        <w:rPr>
          <w:rFonts w:ascii="Tahoma" w:hAnsi="Tahoma" w:cs="Tahoma"/>
          <w:b/>
          <w:sz w:val="22"/>
          <w:szCs w:val="22"/>
        </w:rPr>
      </w:pPr>
    </w:p>
    <w:p w:rsidR="008C7B9C"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Gastos de Funcionamiento / Ingresos Corriente Libre Destinación</w:t>
      </w:r>
    </w:p>
    <w:p w:rsidR="00F82FBA" w:rsidRDefault="00F82FBA" w:rsidP="00741448">
      <w:pPr>
        <w:pStyle w:val="NormalWeb"/>
        <w:spacing w:before="0" w:beforeAutospacing="0" w:after="0" w:afterAutospacing="0"/>
        <w:rPr>
          <w:rFonts w:ascii="Tahoma" w:hAnsi="Tahoma" w:cs="Tahoma"/>
          <w:b/>
          <w:sz w:val="22"/>
          <w:szCs w:val="22"/>
        </w:rPr>
      </w:pPr>
    </w:p>
    <w:p w:rsidR="004D0910" w:rsidRDefault="004D0910" w:rsidP="00741448">
      <w:pPr>
        <w:pStyle w:val="NormalWeb"/>
        <w:spacing w:before="0" w:beforeAutospacing="0" w:after="0" w:afterAutospacing="0"/>
        <w:rPr>
          <w:rFonts w:ascii="Tahoma" w:hAnsi="Tahoma" w:cs="Tahoma"/>
          <w:b/>
          <w:sz w:val="22"/>
          <w:szCs w:val="22"/>
        </w:rPr>
      </w:pPr>
    </w:p>
    <w:p w:rsidR="004D0910" w:rsidRDefault="004D0910" w:rsidP="00741448">
      <w:pPr>
        <w:pStyle w:val="NormalWeb"/>
        <w:spacing w:before="0" w:beforeAutospacing="0" w:after="0" w:afterAutospacing="0"/>
        <w:rPr>
          <w:rFonts w:ascii="Tahoma" w:hAnsi="Tahoma" w:cs="Tahoma"/>
          <w:b/>
          <w:sz w:val="22"/>
          <w:szCs w:val="22"/>
        </w:rPr>
      </w:pPr>
    </w:p>
    <w:p w:rsidR="004D0910" w:rsidRDefault="004D0910" w:rsidP="00741448">
      <w:pPr>
        <w:pStyle w:val="NormalWeb"/>
        <w:spacing w:before="0" w:beforeAutospacing="0" w:after="0" w:afterAutospacing="0"/>
        <w:rPr>
          <w:rFonts w:ascii="Tahoma" w:hAnsi="Tahoma" w:cs="Tahoma"/>
          <w:b/>
          <w:sz w:val="22"/>
          <w:szCs w:val="22"/>
        </w:rPr>
      </w:pPr>
    </w:p>
    <w:p w:rsidR="004D0910" w:rsidRDefault="004D0910" w:rsidP="00741448">
      <w:pPr>
        <w:pStyle w:val="NormalWeb"/>
        <w:spacing w:before="0" w:beforeAutospacing="0" w:after="0" w:afterAutospacing="0"/>
        <w:rPr>
          <w:rFonts w:ascii="Tahoma" w:hAnsi="Tahoma" w:cs="Tahoma"/>
          <w:b/>
          <w:sz w:val="22"/>
          <w:szCs w:val="22"/>
        </w:rPr>
      </w:pPr>
    </w:p>
    <w:p w:rsidR="004D0910" w:rsidRDefault="004D0910" w:rsidP="00741448">
      <w:pPr>
        <w:pStyle w:val="NormalWeb"/>
        <w:spacing w:before="0" w:beforeAutospacing="0" w:after="0" w:afterAutospacing="0"/>
        <w:rPr>
          <w:rFonts w:ascii="Tahoma" w:hAnsi="Tahoma" w:cs="Tahoma"/>
          <w:b/>
          <w:sz w:val="22"/>
          <w:szCs w:val="22"/>
        </w:rPr>
      </w:pPr>
    </w:p>
    <w:p w:rsidR="004D0910" w:rsidRDefault="004D0910" w:rsidP="00741448">
      <w:pPr>
        <w:pStyle w:val="NormalWeb"/>
        <w:spacing w:before="0" w:beforeAutospacing="0" w:after="0" w:afterAutospacing="0"/>
        <w:rPr>
          <w:rFonts w:ascii="Tahoma" w:hAnsi="Tahoma" w:cs="Tahoma"/>
          <w:b/>
          <w:sz w:val="22"/>
          <w:szCs w:val="22"/>
        </w:rPr>
      </w:pPr>
    </w:p>
    <w:p w:rsidR="004D0910" w:rsidRDefault="004D0910" w:rsidP="00741448">
      <w:pPr>
        <w:pStyle w:val="NormalWeb"/>
        <w:spacing w:before="0" w:beforeAutospacing="0" w:after="0" w:afterAutospacing="0"/>
        <w:rPr>
          <w:rFonts w:ascii="Tahoma" w:hAnsi="Tahoma" w:cs="Tahoma"/>
          <w:b/>
          <w:sz w:val="22"/>
          <w:szCs w:val="22"/>
        </w:rPr>
      </w:pPr>
    </w:p>
    <w:p w:rsidR="004D0910" w:rsidRDefault="004D0910" w:rsidP="003911E6">
      <w:pPr>
        <w:spacing w:before="0" w:after="0"/>
        <w:jc w:val="center"/>
        <w:rPr>
          <w:rFonts w:eastAsia="Times New Roman"/>
          <w:b/>
          <w:bCs/>
          <w:color w:val="auto"/>
          <w:sz w:val="20"/>
          <w:szCs w:val="20"/>
        </w:rPr>
      </w:pPr>
    </w:p>
    <w:p w:rsidR="003911E6" w:rsidRPr="003911E6" w:rsidRDefault="003911E6" w:rsidP="003911E6">
      <w:pPr>
        <w:spacing w:before="0" w:after="0"/>
        <w:jc w:val="center"/>
        <w:rPr>
          <w:rFonts w:eastAsia="Times New Roman"/>
          <w:color w:val="auto"/>
          <w:sz w:val="20"/>
          <w:szCs w:val="20"/>
        </w:rPr>
      </w:pPr>
      <w:r w:rsidRPr="003911E6">
        <w:rPr>
          <w:rFonts w:eastAsia="Times New Roman"/>
          <w:b/>
          <w:bCs/>
          <w:color w:val="auto"/>
          <w:sz w:val="20"/>
          <w:szCs w:val="20"/>
        </w:rPr>
        <w:t>CONTRALORÍA GENERAL DE LA REPÚBLICA</w:t>
      </w:r>
    </w:p>
    <w:p w:rsidR="003911E6" w:rsidRPr="003911E6" w:rsidRDefault="003911E6" w:rsidP="003911E6">
      <w:pPr>
        <w:spacing w:before="0" w:after="0"/>
        <w:jc w:val="center"/>
        <w:rPr>
          <w:rFonts w:eastAsia="Times New Roman"/>
          <w:color w:val="auto"/>
          <w:sz w:val="20"/>
          <w:szCs w:val="20"/>
        </w:rPr>
      </w:pPr>
      <w:r w:rsidRPr="003911E6">
        <w:rPr>
          <w:rFonts w:eastAsia="Times New Roman"/>
          <w:b/>
          <w:bCs/>
          <w:color w:val="auto"/>
          <w:sz w:val="20"/>
          <w:szCs w:val="20"/>
        </w:rPr>
        <w:t>CONTRALORÍA DELEGADA PARA ECONOMÍA Y FINANZAS PÚBLICAS</w:t>
      </w:r>
    </w:p>
    <w:p w:rsidR="003911E6" w:rsidRPr="003911E6" w:rsidRDefault="003911E6" w:rsidP="003911E6">
      <w:pPr>
        <w:spacing w:before="0" w:after="0"/>
        <w:jc w:val="center"/>
        <w:rPr>
          <w:rFonts w:eastAsia="Times New Roman"/>
          <w:color w:val="auto"/>
          <w:sz w:val="20"/>
          <w:szCs w:val="20"/>
        </w:rPr>
      </w:pPr>
      <w:r w:rsidRPr="003911E6">
        <w:rPr>
          <w:rFonts w:eastAsia="Times New Roman"/>
          <w:b/>
          <w:bCs/>
          <w:color w:val="auto"/>
          <w:sz w:val="20"/>
          <w:szCs w:val="20"/>
        </w:rPr>
        <w:t>DIRECCIÓN DE CUENTAS Y ESTADÍSTICAS FISCALES</w:t>
      </w:r>
    </w:p>
    <w:p w:rsidR="003911E6" w:rsidRPr="003911E6" w:rsidRDefault="00F810AF" w:rsidP="003911E6">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t" fillcolor="#a0a0a0" stroked="f"/>
        </w:pict>
      </w:r>
    </w:p>
    <w:p w:rsidR="003911E6" w:rsidRPr="003911E6" w:rsidRDefault="003911E6" w:rsidP="003911E6">
      <w:pPr>
        <w:spacing w:before="0" w:after="0"/>
        <w:jc w:val="center"/>
        <w:rPr>
          <w:rFonts w:eastAsia="Times New Roman"/>
          <w:color w:val="auto"/>
          <w:sz w:val="20"/>
          <w:szCs w:val="20"/>
        </w:rPr>
      </w:pPr>
      <w:r w:rsidRPr="003911E6">
        <w:rPr>
          <w:rFonts w:eastAsia="Times New Roman"/>
          <w:b/>
          <w:bCs/>
          <w:color w:val="auto"/>
          <w:sz w:val="20"/>
          <w:szCs w:val="20"/>
        </w:rPr>
        <w:t>CONSULTA DATOS CERTIFICACIÓN LEY 617/00</w:t>
      </w:r>
    </w:p>
    <w:tbl>
      <w:tblPr>
        <w:tblW w:w="8400" w:type="dxa"/>
        <w:jc w:val="center"/>
        <w:tblCellSpacing w:w="15" w:type="dxa"/>
        <w:tblCellMar>
          <w:top w:w="15" w:type="dxa"/>
          <w:left w:w="15" w:type="dxa"/>
          <w:bottom w:w="15" w:type="dxa"/>
          <w:right w:w="15" w:type="dxa"/>
        </w:tblCellMar>
        <w:tblLook w:val="04A0" w:firstRow="1" w:lastRow="0" w:firstColumn="1" w:lastColumn="0" w:noHBand="0" w:noVBand="1"/>
      </w:tblPr>
      <w:tblGrid>
        <w:gridCol w:w="8536"/>
      </w:tblGrid>
      <w:tr w:rsidR="003911E6" w:rsidRPr="003911E6" w:rsidTr="003911E6">
        <w:trPr>
          <w:tblCellSpacing w:w="15" w:type="dxa"/>
          <w:jc w:val="center"/>
        </w:trPr>
        <w:tc>
          <w:tcPr>
            <w:tcW w:w="0" w:type="auto"/>
            <w:shd w:val="clear" w:color="auto" w:fill="EAF5FF"/>
            <w:vAlign w:val="center"/>
            <w:hideMark/>
          </w:tcPr>
          <w:p w:rsidR="003911E6" w:rsidRPr="003911E6" w:rsidRDefault="003911E6" w:rsidP="003911E6">
            <w:pPr>
              <w:spacing w:before="0" w:after="0"/>
              <w:rPr>
                <w:rFonts w:eastAsia="Times New Roman"/>
                <w:color w:val="auto"/>
                <w:sz w:val="18"/>
                <w:szCs w:val="18"/>
              </w:rPr>
            </w:pPr>
          </w:p>
        </w:tc>
      </w:tr>
      <w:tr w:rsidR="003911E6" w:rsidRPr="003911E6" w:rsidTr="003911E6">
        <w:trPr>
          <w:tblCellSpacing w:w="15" w:type="dxa"/>
          <w:jc w:val="center"/>
        </w:trPr>
        <w:tc>
          <w:tcPr>
            <w:tcW w:w="0" w:type="auto"/>
            <w:shd w:val="clear" w:color="auto" w:fill="EAF5FF"/>
            <w:vAlign w:val="center"/>
            <w:hideMark/>
          </w:tcPr>
          <w:p w:rsidR="003911E6" w:rsidRPr="003911E6" w:rsidRDefault="003911E6" w:rsidP="003911E6">
            <w:pPr>
              <w:spacing w:before="0" w:after="0"/>
              <w:rPr>
                <w:rFonts w:eastAsia="Times New Roman"/>
                <w:color w:val="auto"/>
                <w:sz w:val="18"/>
                <w:szCs w:val="18"/>
              </w:rPr>
            </w:pPr>
          </w:p>
        </w:tc>
      </w:tr>
      <w:tr w:rsidR="003911E6" w:rsidRPr="003911E6" w:rsidTr="003911E6">
        <w:trPr>
          <w:tblCellSpacing w:w="15" w:type="dxa"/>
          <w:jc w:val="center"/>
        </w:trPr>
        <w:tc>
          <w:tcPr>
            <w:tcW w:w="0" w:type="auto"/>
            <w:shd w:val="clear" w:color="auto" w:fill="EAF5FF"/>
            <w:vAlign w:val="center"/>
            <w:hideMark/>
          </w:tcPr>
          <w:p w:rsidR="003911E6" w:rsidRPr="003911E6" w:rsidRDefault="003911E6" w:rsidP="003911E6">
            <w:pPr>
              <w:spacing w:before="0" w:after="0"/>
              <w:rPr>
                <w:rFonts w:eastAsia="Times New Roman"/>
                <w:color w:val="auto"/>
                <w:sz w:val="18"/>
                <w:szCs w:val="18"/>
              </w:rPr>
            </w:pPr>
          </w:p>
        </w:tc>
      </w:tr>
      <w:tr w:rsidR="003911E6" w:rsidRPr="003911E6" w:rsidTr="003911E6">
        <w:trPr>
          <w:tblCellSpacing w:w="15" w:type="dxa"/>
          <w:jc w:val="center"/>
        </w:trPr>
        <w:tc>
          <w:tcPr>
            <w:tcW w:w="0" w:type="auto"/>
            <w:shd w:val="clear" w:color="auto" w:fill="EAF5FF"/>
            <w:vAlign w:val="center"/>
            <w:hideMark/>
          </w:tcPr>
          <w:p w:rsidR="003911E6" w:rsidRPr="003911E6" w:rsidRDefault="003911E6" w:rsidP="003911E6">
            <w:pPr>
              <w:spacing w:before="0" w:after="0"/>
              <w:rPr>
                <w:rFonts w:eastAsia="Times New Roman"/>
                <w:color w:val="auto"/>
                <w:sz w:val="18"/>
                <w:szCs w:val="18"/>
              </w:rPr>
            </w:pPr>
          </w:p>
        </w:tc>
      </w:tr>
      <w:tr w:rsidR="003911E6" w:rsidRPr="003911E6" w:rsidTr="003911E6">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TOLIMA</w:t>
                  </w:r>
                </w:p>
              </w:tc>
            </w:tr>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215273352 - ICONONZO</w:t>
                  </w:r>
                </w:p>
              </w:tc>
            </w:tr>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2015</w:t>
                  </w:r>
                </w:p>
              </w:tc>
            </w:tr>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Sexta</w:t>
                  </w:r>
                </w:p>
              </w:tc>
            </w:tr>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80%</w:t>
                  </w:r>
                </w:p>
              </w:tc>
            </w:tr>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Procede la Certificación de la Entidad.</w:t>
                  </w:r>
                </w:p>
              </w:tc>
            </w:tr>
          </w:tbl>
          <w:p w:rsidR="003911E6" w:rsidRPr="003911E6" w:rsidRDefault="003911E6" w:rsidP="003911E6">
            <w:pPr>
              <w:spacing w:before="0" w:after="0"/>
              <w:jc w:val="center"/>
              <w:rPr>
                <w:rFonts w:eastAsia="Times New Roman"/>
                <w:sz w:val="18"/>
                <w:szCs w:val="18"/>
              </w:rPr>
            </w:pPr>
          </w:p>
        </w:tc>
      </w:tr>
      <w:tr w:rsidR="003911E6" w:rsidRPr="003911E6" w:rsidTr="003911E6">
        <w:trPr>
          <w:tblCellSpacing w:w="15" w:type="dxa"/>
          <w:jc w:val="center"/>
        </w:trPr>
        <w:tc>
          <w:tcPr>
            <w:tcW w:w="0" w:type="auto"/>
            <w:shd w:val="clear" w:color="auto" w:fill="EAF5FF"/>
            <w:vAlign w:val="center"/>
            <w:hideMark/>
          </w:tcPr>
          <w:p w:rsidR="003911E6" w:rsidRPr="003911E6" w:rsidRDefault="003911E6" w:rsidP="003911E6">
            <w:pPr>
              <w:spacing w:before="0" w:after="0"/>
              <w:jc w:val="center"/>
              <w:rPr>
                <w:rFonts w:eastAsia="Times New Roman"/>
                <w:sz w:val="18"/>
                <w:szCs w:val="18"/>
              </w:rPr>
            </w:pPr>
            <w:r w:rsidRPr="003911E6">
              <w:rPr>
                <w:rFonts w:eastAsia="Times New Roman"/>
                <w:b/>
                <w:bCs/>
                <w:sz w:val="18"/>
                <w:szCs w:val="18"/>
              </w:rPr>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6"/>
              <w:gridCol w:w="1964"/>
            </w:tblGrid>
            <w:tr w:rsidR="003911E6" w:rsidRPr="003911E6">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rPr>
                      <w:rFonts w:eastAsia="Times New Roman"/>
                      <w:color w:val="auto"/>
                      <w:sz w:val="18"/>
                      <w:szCs w:val="18"/>
                    </w:rPr>
                  </w:pPr>
                </w:p>
              </w:tc>
            </w:tr>
            <w:tr w:rsidR="003911E6" w:rsidRPr="003911E6">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Ejecución (Miles de Pesos)</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1.1.01.01.34</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Circulación y Tránsito por Transporte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6.272</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178.829</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106.299</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15.028</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1.1.01.02.49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Delineación y Urbanismo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71.528</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160.609</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1.1.01.02.69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Registro de Marcas y Herretes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732</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1.1.01.02.98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Otros Impuestos Indirectos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7.301</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1.1.02.01.01.09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Plaza de Mercado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8.013</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1.1.02.01.01.19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Expedición de Certificados y Paz y Salvos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11.333</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1.1.02.01.01.39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Arrendamientos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4.856</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1.1.02.01.01.41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Alquiler de Maquinaria y Equipo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31</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Otras Tasas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655</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29.971</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1.742</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705.635</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1.1.02.02.03.09.09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Degüello de Ganado Mayor</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7.783</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b/>
                      <w:bCs/>
                      <w:color w:val="auto"/>
                      <w:sz w:val="18"/>
                      <w:szCs w:val="18"/>
                    </w:rPr>
                    <w:t>1.316.617</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lastRenderedPageBreak/>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b/>
                      <w:bCs/>
                      <w:color w:val="auto"/>
                      <w:sz w:val="18"/>
                      <w:szCs w:val="18"/>
                    </w:rPr>
                    <w:t>1.316.617</w:t>
                  </w:r>
                </w:p>
              </w:tc>
            </w:tr>
          </w:tbl>
          <w:p w:rsidR="003911E6" w:rsidRPr="003911E6" w:rsidRDefault="003911E6" w:rsidP="003911E6">
            <w:pPr>
              <w:spacing w:before="0" w:after="0"/>
              <w:jc w:val="center"/>
              <w:rPr>
                <w:rFonts w:eastAsia="Times New Roman"/>
                <w:sz w:val="18"/>
                <w:szCs w:val="18"/>
              </w:rPr>
            </w:pPr>
          </w:p>
        </w:tc>
      </w:tr>
      <w:tr w:rsidR="003911E6" w:rsidRPr="003911E6" w:rsidTr="003911E6">
        <w:trPr>
          <w:tblCellSpacing w:w="15" w:type="dxa"/>
          <w:jc w:val="center"/>
        </w:trPr>
        <w:tc>
          <w:tcPr>
            <w:tcW w:w="0" w:type="auto"/>
            <w:shd w:val="clear" w:color="auto" w:fill="EAF5FF"/>
            <w:vAlign w:val="center"/>
            <w:hideMark/>
          </w:tcPr>
          <w:p w:rsidR="003911E6" w:rsidRPr="003911E6" w:rsidRDefault="003911E6" w:rsidP="003911E6">
            <w:pPr>
              <w:spacing w:before="0" w:after="0"/>
              <w:jc w:val="center"/>
              <w:rPr>
                <w:rFonts w:eastAsia="Times New Roman"/>
                <w:sz w:val="18"/>
                <w:szCs w:val="18"/>
              </w:rPr>
            </w:pPr>
            <w:r w:rsidRPr="003911E6">
              <w:rPr>
                <w:rFonts w:eastAsia="Times New Roman"/>
                <w:b/>
                <w:bCs/>
                <w:sz w:val="18"/>
                <w:szCs w:val="18"/>
              </w:rPr>
              <w:lastRenderedPageBreak/>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3911E6" w:rsidRPr="003911E6">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rPr>
                      <w:rFonts w:eastAsia="Times New Roman"/>
                      <w:color w:val="auto"/>
                      <w:sz w:val="18"/>
                      <w:szCs w:val="18"/>
                    </w:rPr>
                  </w:pPr>
                </w:p>
              </w:tc>
            </w:tr>
            <w:tr w:rsidR="003911E6" w:rsidRPr="003911E6">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Ejecución (Miles de Pesos)</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813.824</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251.224</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color w:val="auto"/>
                      <w:sz w:val="18"/>
                      <w:szCs w:val="18"/>
                    </w:rPr>
                    <w:t>183.390</w:t>
                  </w:r>
                </w:p>
              </w:tc>
            </w:tr>
            <w:tr w:rsidR="003911E6" w:rsidRPr="003911E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rPr>
                      <w:rFonts w:eastAsia="Times New Roman"/>
                      <w:color w:val="auto"/>
                      <w:sz w:val="18"/>
                      <w:szCs w:val="18"/>
                    </w:rPr>
                  </w:pPr>
                  <w:r w:rsidRPr="003911E6">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b/>
                      <w:bCs/>
                      <w:color w:val="auto"/>
                      <w:sz w:val="18"/>
                      <w:szCs w:val="18"/>
                    </w:rPr>
                    <w:t>1.248.438</w:t>
                  </w:r>
                </w:p>
              </w:tc>
            </w:tr>
          </w:tbl>
          <w:p w:rsidR="003911E6" w:rsidRPr="003911E6" w:rsidRDefault="003911E6" w:rsidP="003911E6">
            <w:pPr>
              <w:spacing w:before="0" w:after="0"/>
              <w:jc w:val="center"/>
              <w:rPr>
                <w:rFonts w:eastAsia="Times New Roman"/>
                <w:sz w:val="18"/>
                <w:szCs w:val="18"/>
              </w:rPr>
            </w:pPr>
          </w:p>
        </w:tc>
      </w:tr>
      <w:tr w:rsidR="003911E6" w:rsidRPr="003911E6" w:rsidTr="003911E6">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147"/>
              <w:gridCol w:w="1253"/>
            </w:tblGrid>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center"/>
                    <w:rPr>
                      <w:rFonts w:eastAsia="Times New Roman"/>
                      <w:color w:val="auto"/>
                      <w:sz w:val="18"/>
                      <w:szCs w:val="18"/>
                    </w:rPr>
                  </w:pPr>
                  <w:r w:rsidRPr="003911E6">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b/>
                      <w:bCs/>
                      <w:color w:val="auto"/>
                      <w:sz w:val="18"/>
                      <w:szCs w:val="18"/>
                    </w:rPr>
                    <w:t>94,82%</w:t>
                  </w:r>
                </w:p>
              </w:tc>
            </w:tr>
            <w:tr w:rsidR="003911E6" w:rsidRPr="003911E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center"/>
                    <w:rPr>
                      <w:rFonts w:eastAsia="Times New Roman"/>
                      <w:color w:val="auto"/>
                      <w:sz w:val="18"/>
                      <w:szCs w:val="18"/>
                    </w:rPr>
                  </w:pPr>
                  <w:proofErr w:type="spellStart"/>
                  <w:r w:rsidRPr="003911E6">
                    <w:rPr>
                      <w:rFonts w:eastAsia="Times New Roman"/>
                      <w:b/>
                      <w:bCs/>
                      <w:color w:val="auto"/>
                      <w:sz w:val="18"/>
                      <w:szCs w:val="18"/>
                    </w:rPr>
                    <w:t>Limte</w:t>
                  </w:r>
                  <w:proofErr w:type="spellEnd"/>
                  <w:r w:rsidRPr="003911E6">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3911E6" w:rsidRPr="003911E6" w:rsidRDefault="003911E6" w:rsidP="003911E6">
                  <w:pPr>
                    <w:spacing w:before="0" w:after="0"/>
                    <w:jc w:val="right"/>
                    <w:rPr>
                      <w:rFonts w:eastAsia="Times New Roman"/>
                      <w:color w:val="auto"/>
                      <w:sz w:val="18"/>
                      <w:szCs w:val="18"/>
                    </w:rPr>
                  </w:pPr>
                  <w:r w:rsidRPr="003911E6">
                    <w:rPr>
                      <w:rFonts w:eastAsia="Times New Roman"/>
                      <w:b/>
                      <w:bCs/>
                      <w:color w:val="auto"/>
                      <w:sz w:val="18"/>
                      <w:szCs w:val="18"/>
                    </w:rPr>
                    <w:t>-14,82%</w:t>
                  </w:r>
                </w:p>
              </w:tc>
            </w:tr>
          </w:tbl>
          <w:p w:rsidR="003911E6" w:rsidRPr="003911E6" w:rsidRDefault="003911E6" w:rsidP="003911E6">
            <w:pPr>
              <w:spacing w:before="0" w:after="0"/>
              <w:jc w:val="center"/>
              <w:rPr>
                <w:rFonts w:eastAsia="Times New Roman"/>
                <w:sz w:val="18"/>
                <w:szCs w:val="18"/>
              </w:rPr>
            </w:pPr>
          </w:p>
        </w:tc>
      </w:tr>
    </w:tbl>
    <w:p w:rsidR="005F5D93" w:rsidRPr="00AC2164" w:rsidRDefault="00AC2164" w:rsidP="003911E6">
      <w:pPr>
        <w:pStyle w:val="NormalWeb"/>
        <w:spacing w:before="0" w:beforeAutospacing="0" w:after="0" w:afterAutospacing="0"/>
        <w:rPr>
          <w:color w:val="auto"/>
          <w:sz w:val="18"/>
          <w:szCs w:val="18"/>
        </w:rPr>
      </w:pPr>
      <w:r>
        <w:rPr>
          <w:color w:val="auto"/>
          <w:sz w:val="18"/>
          <w:szCs w:val="18"/>
        </w:rPr>
        <w:t>Información tomada de la página de la Contraloría General de la República</w:t>
      </w:r>
    </w:p>
    <w:p w:rsidR="00FA0402" w:rsidRDefault="00FA0402" w:rsidP="008762C3">
      <w:pPr>
        <w:pStyle w:val="Ttulo2"/>
        <w:jc w:val="both"/>
        <w:rPr>
          <w:rFonts w:ascii="Tahoma" w:hAnsi="Tahoma" w:cs="Tahoma"/>
          <w:b w:val="0"/>
          <w:sz w:val="22"/>
          <w:lang w:val="es-CO"/>
        </w:rPr>
      </w:pPr>
    </w:p>
    <w:p w:rsidR="008762C3" w:rsidRPr="00FA2753" w:rsidRDefault="008762C3" w:rsidP="008762C3">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expedida por la Contraloría General de la República y la Ejecución presupuestal de Ingresos y Gastos, se evidenció que el Municipio de </w:t>
      </w:r>
      <w:r w:rsidR="003911E6" w:rsidRPr="003911E6">
        <w:rPr>
          <w:rFonts w:ascii="Tahoma" w:hAnsi="Tahoma" w:cs="Tahoma"/>
          <w:sz w:val="22"/>
          <w:szCs w:val="22"/>
        </w:rPr>
        <w:t>Icononzo</w:t>
      </w:r>
      <w:r>
        <w:rPr>
          <w:rFonts w:ascii="Tahoma" w:hAnsi="Tahoma" w:cs="Tahoma"/>
          <w:b w:val="0"/>
          <w:sz w:val="22"/>
          <w:lang w:val="es-CO"/>
        </w:rPr>
        <w:t xml:space="preserve"> </w:t>
      </w:r>
      <w:r w:rsidR="003911E6" w:rsidRPr="003911E6">
        <w:rPr>
          <w:rFonts w:ascii="Tahoma" w:hAnsi="Tahoma" w:cs="Tahoma"/>
          <w:sz w:val="22"/>
          <w:szCs w:val="22"/>
          <w:lang w:val="es-CO"/>
        </w:rPr>
        <w:t xml:space="preserve">NO </w:t>
      </w:r>
      <w:r w:rsidRPr="003911E6">
        <w:rPr>
          <w:rFonts w:ascii="Tahoma" w:hAnsi="Tahoma" w:cs="Tahoma"/>
          <w:sz w:val="22"/>
          <w:szCs w:val="22"/>
          <w:lang w:val="es-CO"/>
        </w:rPr>
        <w:t>CUMPLE</w:t>
      </w:r>
      <w:r>
        <w:rPr>
          <w:rFonts w:ascii="Tahoma" w:hAnsi="Tahoma" w:cs="Tahoma"/>
          <w:b w:val="0"/>
          <w:sz w:val="22"/>
          <w:lang w:val="es-CO"/>
        </w:rPr>
        <w:t xml:space="preserve"> con el indicador de ley 617 de 2000, toda vez que los Gastos de funcionamiento para la vigencia fiscal 2015 </w:t>
      </w:r>
      <w:r w:rsidR="003911E6">
        <w:rPr>
          <w:rFonts w:ascii="Tahoma" w:hAnsi="Tahoma" w:cs="Tahoma"/>
          <w:b w:val="0"/>
          <w:sz w:val="22"/>
          <w:lang w:val="es-CO"/>
        </w:rPr>
        <w:t xml:space="preserve">superaron el límite del 80%, es decir, el Indicador de Gastos de Funcionamiento fue del </w:t>
      </w:r>
      <w:r w:rsidR="00FA2753">
        <w:rPr>
          <w:rFonts w:ascii="Tahoma" w:hAnsi="Tahoma" w:cs="Tahoma"/>
          <w:sz w:val="22"/>
          <w:lang w:val="es-CO"/>
        </w:rPr>
        <w:t xml:space="preserve">94.82%, </w:t>
      </w:r>
      <w:r w:rsidR="00FA2753" w:rsidRPr="00FA2753">
        <w:rPr>
          <w:rFonts w:ascii="Tahoma" w:hAnsi="Tahoma" w:cs="Tahoma"/>
          <w:b w:val="0"/>
          <w:sz w:val="22"/>
          <w:lang w:val="es-CO"/>
        </w:rPr>
        <w:t>colocando en riesgo al ente Territorial, toda vez que el Municipio no es auto sostenible para cubrir sus gastos de funcionamiento</w:t>
      </w:r>
      <w:r w:rsidR="00FA2753">
        <w:rPr>
          <w:rFonts w:ascii="Tahoma" w:hAnsi="Tahoma" w:cs="Tahoma"/>
          <w:b w:val="0"/>
          <w:sz w:val="22"/>
          <w:lang w:val="es-CO"/>
        </w:rPr>
        <w:t>.</w:t>
      </w:r>
    </w:p>
    <w:p w:rsidR="008762C3" w:rsidRDefault="008762C3" w:rsidP="004B7B3F">
      <w:pPr>
        <w:spacing w:before="0" w:after="0"/>
        <w:jc w:val="both"/>
        <w:rPr>
          <w:rFonts w:ascii="Tahoma" w:eastAsia="Times New Roman" w:hAnsi="Tahoma" w:cs="Tahoma"/>
          <w:b/>
          <w:bCs/>
          <w:color w:val="auto"/>
        </w:rPr>
      </w:pPr>
    </w:p>
    <w:p w:rsidR="004B7B3F" w:rsidRPr="00163FB1" w:rsidRDefault="00E15E67" w:rsidP="004B7B3F">
      <w:pPr>
        <w:spacing w:before="0" w:after="0"/>
        <w:jc w:val="both"/>
        <w:rPr>
          <w:rFonts w:ascii="Tahoma" w:eastAsia="Times New Roman" w:hAnsi="Tahoma" w:cs="Tahoma"/>
          <w:b/>
          <w:bCs/>
          <w:color w:val="auto"/>
        </w:rPr>
      </w:pPr>
      <w:r w:rsidRPr="00163FB1">
        <w:rPr>
          <w:rFonts w:ascii="Tahoma" w:eastAsia="Times New Roman" w:hAnsi="Tahoma" w:cs="Tahoma"/>
          <w:b/>
          <w:bCs/>
          <w:color w:val="auto"/>
        </w:rPr>
        <w:t xml:space="preserve">GASTOS DE LAS CORPORACIONES </w:t>
      </w:r>
      <w:r w:rsidR="005F4A02" w:rsidRPr="00163FB1">
        <w:rPr>
          <w:rFonts w:ascii="Tahoma" w:eastAsia="Times New Roman" w:hAnsi="Tahoma" w:cs="Tahoma"/>
          <w:b/>
          <w:bCs/>
          <w:color w:val="auto"/>
        </w:rPr>
        <w:t>PÚBLICAS</w:t>
      </w:r>
      <w:r w:rsidRPr="00163FB1">
        <w:rPr>
          <w:rFonts w:ascii="Tahoma" w:eastAsia="Times New Roman" w:hAnsi="Tahoma" w:cs="Tahoma"/>
          <w:b/>
          <w:bCs/>
          <w:color w:val="auto"/>
        </w:rPr>
        <w:t xml:space="preserve"> – CONCEJO MUNICIPAL</w:t>
      </w:r>
    </w:p>
    <w:p w:rsidR="00E15E67" w:rsidRPr="00163FB1" w:rsidRDefault="00E15E67" w:rsidP="004B7B3F">
      <w:pPr>
        <w:spacing w:before="0" w:after="0"/>
        <w:jc w:val="both"/>
        <w:rPr>
          <w:rFonts w:ascii="Tahoma" w:eastAsia="Times New Roman" w:hAnsi="Tahoma" w:cs="Tahoma"/>
          <w:b/>
          <w:bCs/>
          <w:color w:val="auto"/>
        </w:rPr>
      </w:pPr>
    </w:p>
    <w:p w:rsidR="00763FDB" w:rsidRDefault="00E15E67" w:rsidP="004B7B3F">
      <w:pPr>
        <w:spacing w:before="0" w:after="0"/>
        <w:jc w:val="both"/>
        <w:rPr>
          <w:rFonts w:ascii="Tahoma" w:hAnsi="Tahoma" w:cs="Tahoma"/>
          <w:b/>
        </w:rPr>
      </w:pPr>
      <w:r w:rsidRPr="00163FB1">
        <w:rPr>
          <w:rFonts w:ascii="Tahoma" w:eastAsia="Times New Roman" w:hAnsi="Tahoma" w:cs="Tahoma"/>
          <w:bCs/>
          <w:color w:val="auto"/>
        </w:rPr>
        <w:t xml:space="preserve">El </w:t>
      </w:r>
      <w:r w:rsidR="00C86CA5" w:rsidRPr="00163FB1">
        <w:rPr>
          <w:rFonts w:ascii="Tahoma" w:eastAsia="Times New Roman" w:hAnsi="Tahoma" w:cs="Tahoma"/>
          <w:bCs/>
          <w:color w:val="auto"/>
        </w:rPr>
        <w:t>ente Territorial</w:t>
      </w:r>
      <w:r w:rsidRPr="00163FB1">
        <w:rPr>
          <w:rFonts w:ascii="Tahoma" w:eastAsia="Times New Roman" w:hAnsi="Tahoma" w:cs="Tahoma"/>
          <w:bCs/>
          <w:color w:val="auto"/>
        </w:rPr>
        <w:t xml:space="preserve"> para la vigencia 2015, le transfirió al Concejo Municipal la suma de </w:t>
      </w:r>
      <w:r w:rsidRPr="0032401F">
        <w:rPr>
          <w:rFonts w:ascii="Tahoma" w:eastAsia="Times New Roman" w:hAnsi="Tahoma" w:cs="Tahoma"/>
          <w:b/>
          <w:bCs/>
          <w:color w:val="auto"/>
        </w:rPr>
        <w:t>$</w:t>
      </w:r>
      <w:r w:rsidR="00FA2753">
        <w:rPr>
          <w:rFonts w:ascii="Tahoma" w:eastAsia="Times New Roman" w:hAnsi="Tahoma" w:cs="Tahoma"/>
          <w:b/>
          <w:bCs/>
          <w:color w:val="auto"/>
        </w:rPr>
        <w:t>121</w:t>
      </w:r>
      <w:r w:rsidR="001D01D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de los cuales </w:t>
      </w:r>
      <w:r w:rsidR="005F4A02" w:rsidRPr="00FA0402">
        <w:rPr>
          <w:rFonts w:ascii="Tahoma" w:eastAsia="Times New Roman" w:hAnsi="Tahoma" w:cs="Tahoma"/>
          <w:b/>
          <w:bCs/>
          <w:color w:val="auto"/>
        </w:rPr>
        <w:t>$</w:t>
      </w:r>
      <w:r w:rsidR="00FA2753">
        <w:rPr>
          <w:rFonts w:ascii="Tahoma" w:eastAsia="Times New Roman" w:hAnsi="Tahoma" w:cs="Tahoma"/>
          <w:b/>
          <w:bCs/>
          <w:color w:val="auto"/>
        </w:rPr>
        <w:t>98</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correspondieron a honorarios de Concejales y </w:t>
      </w:r>
      <w:r w:rsidR="005F4A02" w:rsidRPr="00FA0402">
        <w:rPr>
          <w:rFonts w:ascii="Tahoma" w:eastAsia="Times New Roman" w:hAnsi="Tahoma" w:cs="Tahoma"/>
          <w:b/>
          <w:bCs/>
          <w:color w:val="auto"/>
        </w:rPr>
        <w:t>$</w:t>
      </w:r>
      <w:r w:rsidR="00FA2753">
        <w:rPr>
          <w:rFonts w:ascii="Tahoma" w:eastAsia="Times New Roman" w:hAnsi="Tahoma" w:cs="Tahoma"/>
          <w:b/>
          <w:bCs/>
          <w:color w:val="auto"/>
        </w:rPr>
        <w:t>23</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para gastos de funcionamiento</w:t>
      </w:r>
      <w:r w:rsidR="007B5621" w:rsidRPr="00163FB1">
        <w:rPr>
          <w:rFonts w:ascii="Tahoma" w:eastAsia="Times New Roman" w:hAnsi="Tahoma" w:cs="Tahoma"/>
          <w:bCs/>
          <w:color w:val="auto"/>
        </w:rPr>
        <w:t xml:space="preserve">, </w:t>
      </w:r>
      <w:r w:rsidR="00067E63">
        <w:rPr>
          <w:rFonts w:ascii="Tahoma" w:eastAsia="Times New Roman" w:hAnsi="Tahoma" w:cs="Tahoma"/>
          <w:bCs/>
          <w:color w:val="auto"/>
        </w:rPr>
        <w:t xml:space="preserve">por lo tanto </w:t>
      </w:r>
      <w:r w:rsidR="001B475A" w:rsidRPr="00163FB1">
        <w:rPr>
          <w:rFonts w:ascii="Tahoma" w:eastAsia="Times New Roman" w:hAnsi="Tahoma" w:cs="Tahoma"/>
          <w:bCs/>
          <w:color w:val="auto"/>
        </w:rPr>
        <w:t xml:space="preserve">el Municipio de </w:t>
      </w:r>
      <w:r w:rsidR="00564882" w:rsidRPr="00564882">
        <w:rPr>
          <w:rFonts w:ascii="Tahoma" w:hAnsi="Tahoma" w:cs="Tahoma"/>
          <w:b/>
          <w:color w:val="auto"/>
        </w:rPr>
        <w:t>Icononzo</w:t>
      </w:r>
      <w:r w:rsidR="005F2A16" w:rsidRPr="00163FB1">
        <w:rPr>
          <w:rFonts w:ascii="Tahoma" w:hAnsi="Tahoma" w:cs="Tahoma"/>
        </w:rPr>
        <w:t xml:space="preserve"> </w:t>
      </w:r>
      <w:r w:rsidR="00AF2082" w:rsidRPr="00AF2082">
        <w:rPr>
          <w:rFonts w:ascii="Tahoma" w:hAnsi="Tahoma" w:cs="Tahoma"/>
          <w:b/>
        </w:rPr>
        <w:t xml:space="preserve">NO </w:t>
      </w:r>
      <w:r w:rsidR="00640913" w:rsidRPr="00163FB1">
        <w:rPr>
          <w:rFonts w:ascii="Tahoma" w:eastAsia="Times New Roman" w:hAnsi="Tahoma" w:cs="Tahoma"/>
          <w:b/>
          <w:bCs/>
          <w:color w:val="auto"/>
          <w:u w:val="single"/>
        </w:rPr>
        <w:t>d</w:t>
      </w:r>
      <w:r w:rsidR="001B475A" w:rsidRPr="00163FB1">
        <w:rPr>
          <w:rFonts w:ascii="Tahoma" w:eastAsia="Times New Roman" w:hAnsi="Tahoma" w:cs="Tahoma"/>
          <w:b/>
          <w:bCs/>
          <w:color w:val="auto"/>
          <w:u w:val="single"/>
        </w:rPr>
        <w:t>io</w:t>
      </w:r>
      <w:r w:rsidR="00640913" w:rsidRPr="00163FB1">
        <w:rPr>
          <w:rFonts w:ascii="Tahoma" w:eastAsia="Times New Roman" w:hAnsi="Tahoma" w:cs="Tahoma"/>
          <w:b/>
          <w:bCs/>
          <w:color w:val="auto"/>
          <w:u w:val="single"/>
        </w:rPr>
        <w:t xml:space="preserve"> </w:t>
      </w:r>
      <w:r w:rsidR="00640913" w:rsidRPr="00163FB1">
        <w:rPr>
          <w:rFonts w:ascii="Tahoma" w:hAnsi="Tahoma" w:cs="Tahoma"/>
          <w:b/>
          <w:u w:val="single"/>
        </w:rPr>
        <w:t>cumplimiento</w:t>
      </w:r>
      <w:r w:rsidR="00640913" w:rsidRPr="00163FB1">
        <w:rPr>
          <w:rFonts w:ascii="Tahoma" w:hAnsi="Tahoma" w:cs="Tahoma"/>
          <w:u w:val="single"/>
        </w:rPr>
        <w:t xml:space="preserve"> </w:t>
      </w:r>
      <w:r w:rsidR="00640913" w:rsidRPr="00163FB1">
        <w:rPr>
          <w:rFonts w:ascii="Tahoma" w:hAnsi="Tahoma" w:cs="Tahoma"/>
        </w:rPr>
        <w:t>a lo establec</w:t>
      </w:r>
      <w:r w:rsidR="00A66750" w:rsidRPr="00163FB1">
        <w:rPr>
          <w:rFonts w:ascii="Tahoma" w:hAnsi="Tahoma" w:cs="Tahoma"/>
        </w:rPr>
        <w:t xml:space="preserve">ido en </w:t>
      </w:r>
      <w:r w:rsidR="00640913" w:rsidRPr="00163FB1">
        <w:rPr>
          <w:rFonts w:ascii="Tahoma" w:hAnsi="Tahoma" w:cs="Tahoma"/>
        </w:rPr>
        <w:t>la Ley 617 de</w:t>
      </w:r>
      <w:r w:rsidR="00C86CA5" w:rsidRPr="00163FB1">
        <w:rPr>
          <w:rFonts w:ascii="Tahoma" w:hAnsi="Tahoma" w:cs="Tahoma"/>
        </w:rPr>
        <w:t xml:space="preserve"> 2000 artículo 10,</w:t>
      </w:r>
      <w:r w:rsidR="005172FE" w:rsidRPr="00163FB1">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FA0402">
        <w:rPr>
          <w:rFonts w:ascii="Tahoma" w:hAnsi="Tahoma" w:cs="Tahoma"/>
        </w:rPr>
        <w:t xml:space="preserve">; Donde los Ingresos corrientes fueron de </w:t>
      </w:r>
      <w:r w:rsidR="00FA0402" w:rsidRPr="00FA0402">
        <w:rPr>
          <w:rFonts w:ascii="Tahoma" w:hAnsi="Tahoma" w:cs="Tahoma"/>
          <w:b/>
        </w:rPr>
        <w:t>$</w:t>
      </w:r>
      <w:r w:rsidR="00564882">
        <w:rPr>
          <w:rFonts w:ascii="Tahoma" w:hAnsi="Tahoma" w:cs="Tahoma"/>
          <w:b/>
        </w:rPr>
        <w:t>1.316.617.</w:t>
      </w:r>
      <w:r w:rsidR="00FA0402" w:rsidRPr="00FA0402">
        <w:rPr>
          <w:rFonts w:ascii="Tahoma" w:hAnsi="Tahoma" w:cs="Tahoma"/>
          <w:b/>
        </w:rPr>
        <w:t>000</w:t>
      </w:r>
      <w:r w:rsidR="00FA0402">
        <w:rPr>
          <w:rFonts w:ascii="Tahoma" w:hAnsi="Tahoma" w:cs="Tahoma"/>
        </w:rPr>
        <w:t>.</w:t>
      </w:r>
      <w:r w:rsidR="00FA0402" w:rsidRPr="00D57142">
        <w:rPr>
          <w:rFonts w:ascii="Tahoma" w:hAnsi="Tahoma" w:cs="Tahoma"/>
          <w:b/>
        </w:rPr>
        <w:t>oo</w:t>
      </w:r>
      <w:r w:rsidR="00D57142">
        <w:rPr>
          <w:rFonts w:ascii="Tahoma" w:hAnsi="Tahoma" w:cs="Tahoma"/>
        </w:rPr>
        <w:t xml:space="preserve">, es decir, le correspondía para gastos de funcionamiento la suma de </w:t>
      </w:r>
      <w:r w:rsidR="00763FDB" w:rsidRPr="00163FB1">
        <w:rPr>
          <w:rFonts w:ascii="Tahoma" w:hAnsi="Tahoma" w:cs="Tahoma"/>
        </w:rPr>
        <w:t xml:space="preserve"> </w:t>
      </w:r>
      <w:r w:rsidR="00763FDB" w:rsidRPr="00FA0402">
        <w:rPr>
          <w:rFonts w:ascii="Tahoma" w:hAnsi="Tahoma" w:cs="Tahoma"/>
          <w:b/>
        </w:rPr>
        <w:t>$</w:t>
      </w:r>
      <w:r w:rsidR="00564882">
        <w:rPr>
          <w:rFonts w:ascii="Tahoma" w:hAnsi="Tahoma" w:cs="Tahoma"/>
          <w:b/>
        </w:rPr>
        <w:t xml:space="preserve">19.749.255.oo.  </w:t>
      </w:r>
    </w:p>
    <w:p w:rsidR="00564882" w:rsidRDefault="00564882" w:rsidP="004B7B3F">
      <w:pPr>
        <w:spacing w:before="0" w:after="0"/>
        <w:jc w:val="both"/>
        <w:rPr>
          <w:rFonts w:ascii="Tahoma" w:hAnsi="Tahoma" w:cs="Tahoma"/>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do a la categoría del Municipio. El M</w:t>
      </w:r>
      <w:r w:rsidR="008C73D6" w:rsidRPr="00CA76CA">
        <w:rPr>
          <w:rFonts w:ascii="Tahoma" w:eastAsia="Times New Roman" w:hAnsi="Tahoma" w:cs="Tahoma"/>
          <w:bCs/>
          <w:color w:val="auto"/>
        </w:rPr>
        <w:t xml:space="preserve">unicipio de </w:t>
      </w:r>
      <w:r w:rsidR="009E3018" w:rsidRPr="003911E6">
        <w:rPr>
          <w:rFonts w:ascii="Tahoma" w:hAnsi="Tahoma" w:cs="Tahoma"/>
          <w:color w:val="auto"/>
        </w:rPr>
        <w:t>Icononzo</w:t>
      </w:r>
      <w:r w:rsidR="009E3018">
        <w:rPr>
          <w:rFonts w:ascii="Tahoma" w:hAnsi="Tahoma" w:cs="Tahoma"/>
          <w:b/>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 xml:space="preserve">de la </w:t>
      </w:r>
      <w:r w:rsidR="004E1489">
        <w:rPr>
          <w:rFonts w:ascii="Tahoma" w:eastAsia="Times New Roman" w:hAnsi="Tahoma" w:cs="Tahoma"/>
          <w:bCs/>
          <w:color w:val="auto"/>
        </w:rPr>
        <w:lastRenderedPageBreak/>
        <w:t>personería no podrá</w:t>
      </w:r>
      <w:r w:rsidR="00D34898" w:rsidRPr="00CA76CA">
        <w:rPr>
          <w:rFonts w:ascii="Tahoma" w:eastAsia="Times New Roman" w:hAnsi="Tahoma" w:cs="Tahoma"/>
          <w:bCs/>
          <w:color w:val="auto"/>
        </w:rPr>
        <w:t xml:space="preserve"> superar los 150 SMMV, es decir, para la vigencia 2015 la suma de </w:t>
      </w:r>
      <w:r w:rsidR="00D34898" w:rsidRPr="00760198">
        <w:rPr>
          <w:rFonts w:ascii="Tahoma" w:eastAsia="Times New Roman" w:hAnsi="Tahoma" w:cs="Tahoma"/>
          <w:b/>
          <w:bCs/>
          <w:color w:val="auto"/>
        </w:rPr>
        <w:t>$96.652.500.oo</w:t>
      </w:r>
      <w:r w:rsidR="00760198">
        <w:rPr>
          <w:rFonts w:ascii="Tahoma" w:eastAsia="Times New Roman" w:hAnsi="Tahoma" w:cs="Tahoma"/>
          <w:b/>
          <w:bCs/>
          <w:color w:val="auto"/>
        </w:rPr>
        <w:t>.</w:t>
      </w:r>
    </w:p>
    <w:p w:rsidR="00D34898" w:rsidRPr="00CA76CA" w:rsidRDefault="00D34898" w:rsidP="004B7B3F">
      <w:pPr>
        <w:spacing w:before="0" w:after="0"/>
        <w:jc w:val="both"/>
        <w:rPr>
          <w:rFonts w:ascii="Tahoma" w:eastAsia="Times New Roman" w:hAnsi="Tahoma" w:cs="Tahoma"/>
          <w:bCs/>
          <w:color w:val="auto"/>
        </w:rPr>
      </w:pPr>
    </w:p>
    <w:p w:rsidR="00F344D5" w:rsidRPr="001C01E8" w:rsidRDefault="00F344D5" w:rsidP="004B7B3F">
      <w:pPr>
        <w:spacing w:before="0" w:after="0"/>
        <w:jc w:val="both"/>
        <w:rPr>
          <w:rFonts w:ascii="Tahoma" w:eastAsia="Times New Roman" w:hAnsi="Tahoma" w:cs="Tahoma"/>
          <w:b/>
          <w:bCs/>
          <w:color w:val="auto"/>
        </w:rPr>
      </w:pPr>
      <w:r w:rsidRPr="00227F78">
        <w:rPr>
          <w:rFonts w:ascii="Tahoma" w:eastAsia="Times New Roman" w:hAnsi="Tahoma" w:cs="Tahoma"/>
          <w:bCs/>
          <w:color w:val="auto"/>
        </w:rPr>
        <w:t>Por</w:t>
      </w:r>
      <w:r w:rsidR="00D34898" w:rsidRPr="00227F78">
        <w:rPr>
          <w:rFonts w:ascii="Tahoma" w:eastAsia="Times New Roman" w:hAnsi="Tahoma" w:cs="Tahoma"/>
          <w:bCs/>
          <w:color w:val="auto"/>
        </w:rPr>
        <w:t xml:space="preserve"> lo anterior, se obs</w:t>
      </w:r>
      <w:r w:rsidR="00760198">
        <w:rPr>
          <w:rFonts w:ascii="Tahoma" w:eastAsia="Times New Roman" w:hAnsi="Tahoma" w:cs="Tahoma"/>
          <w:bCs/>
          <w:color w:val="auto"/>
        </w:rPr>
        <w:t xml:space="preserve">ervó que la entidad Territorial </w:t>
      </w:r>
      <w:r w:rsidRPr="00760198">
        <w:rPr>
          <w:rFonts w:ascii="Tahoma" w:eastAsia="Times New Roman" w:hAnsi="Tahoma" w:cs="Tahoma"/>
          <w:b/>
          <w:bCs/>
          <w:color w:val="auto"/>
          <w:u w:val="single"/>
        </w:rPr>
        <w:t>c</w:t>
      </w:r>
      <w:r w:rsidRPr="00227F78">
        <w:rPr>
          <w:rFonts w:ascii="Tahoma" w:eastAsia="Times New Roman" w:hAnsi="Tahoma" w:cs="Tahoma"/>
          <w:b/>
          <w:bCs/>
          <w:color w:val="auto"/>
          <w:u w:val="single"/>
        </w:rPr>
        <w:t>umplió</w:t>
      </w:r>
      <w:r w:rsidRPr="00227F78">
        <w:rPr>
          <w:rFonts w:ascii="Tahoma" w:eastAsia="Times New Roman" w:hAnsi="Tahoma" w:cs="Tahoma"/>
          <w:bCs/>
          <w:color w:val="auto"/>
        </w:rPr>
        <w:t xml:space="preserve"> con lo Establecido en la ley 617 de 2000, toda vez que le transfirió a la personería Municipal la suma de </w:t>
      </w:r>
      <w:r w:rsidR="00425FF4" w:rsidRPr="001C01E8">
        <w:rPr>
          <w:rFonts w:ascii="Tahoma" w:eastAsia="Times New Roman" w:hAnsi="Tahoma" w:cs="Tahoma"/>
          <w:b/>
          <w:bCs/>
          <w:color w:val="auto"/>
        </w:rPr>
        <w:t>$9</w:t>
      </w:r>
      <w:r w:rsidR="00A43FC3" w:rsidRPr="001C01E8">
        <w:rPr>
          <w:rFonts w:ascii="Tahoma" w:eastAsia="Times New Roman" w:hAnsi="Tahoma" w:cs="Tahoma"/>
          <w:b/>
          <w:bCs/>
          <w:color w:val="auto"/>
        </w:rPr>
        <w:t>6.65</w:t>
      </w:r>
      <w:r w:rsidR="009E3018">
        <w:rPr>
          <w:rFonts w:ascii="Tahoma" w:eastAsia="Times New Roman" w:hAnsi="Tahoma" w:cs="Tahoma"/>
          <w:b/>
          <w:bCs/>
          <w:color w:val="auto"/>
        </w:rPr>
        <w:t>2</w:t>
      </w:r>
      <w:r w:rsidR="00A43FC3" w:rsidRPr="001C01E8">
        <w:rPr>
          <w:rFonts w:ascii="Tahoma" w:eastAsia="Times New Roman" w:hAnsi="Tahoma" w:cs="Tahoma"/>
          <w:b/>
          <w:bCs/>
          <w:color w:val="auto"/>
        </w:rPr>
        <w:t>.</w:t>
      </w:r>
      <w:r w:rsidR="009E3018">
        <w:rPr>
          <w:rFonts w:ascii="Tahoma" w:eastAsia="Times New Roman" w:hAnsi="Tahoma" w:cs="Tahoma"/>
          <w:b/>
          <w:bCs/>
          <w:color w:val="auto"/>
        </w:rPr>
        <w:t>5</w:t>
      </w:r>
      <w:r w:rsidR="00A43FC3" w:rsidRPr="001C01E8">
        <w:rPr>
          <w:rFonts w:ascii="Tahoma" w:eastAsia="Times New Roman" w:hAnsi="Tahoma" w:cs="Tahoma"/>
          <w:b/>
          <w:bCs/>
          <w:color w:val="auto"/>
        </w:rPr>
        <w:t>00.</w:t>
      </w:r>
      <w:r w:rsidR="00760198" w:rsidRPr="001C01E8">
        <w:rPr>
          <w:rFonts w:ascii="Tahoma" w:eastAsia="Times New Roman" w:hAnsi="Tahoma" w:cs="Tahoma"/>
          <w:b/>
          <w:bCs/>
          <w:color w:val="auto"/>
        </w:rPr>
        <w:t>oo</w:t>
      </w:r>
      <w:r w:rsidR="001C01E8" w:rsidRPr="001C01E8">
        <w:rPr>
          <w:rFonts w:ascii="Tahoma" w:eastAsia="Times New Roman" w:hAnsi="Tahoma" w:cs="Tahoma"/>
          <w:b/>
          <w:bCs/>
          <w:color w:val="auto"/>
        </w:rPr>
        <w:t>.</w:t>
      </w:r>
    </w:p>
    <w:p w:rsidR="00425FF4" w:rsidRPr="00A05F58" w:rsidRDefault="00425FF4" w:rsidP="004B7B3F">
      <w:pPr>
        <w:spacing w:before="0" w:after="0"/>
        <w:jc w:val="both"/>
        <w:rPr>
          <w:rFonts w:eastAsia="Times New Roman"/>
          <w:bCs/>
          <w:color w:val="auto"/>
          <w:sz w:val="20"/>
          <w:szCs w:val="20"/>
        </w:rPr>
      </w:pPr>
    </w:p>
    <w:p w:rsidR="00B212CE" w:rsidRPr="00776215" w:rsidRDefault="00B212CE" w:rsidP="00B212CE">
      <w:pPr>
        <w:jc w:val="center"/>
        <w:rPr>
          <w:rFonts w:ascii="Tahoma" w:hAnsi="Tahoma" w:cs="Tahoma"/>
          <w:lang w:val="es-ES" w:eastAsia="es-ES"/>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477304" w:rsidRPr="00CA76CA" w:rsidRDefault="008C7A2F" w:rsidP="00B212CE">
      <w:pPr>
        <w:rPr>
          <w:rFonts w:ascii="Tahoma" w:hAnsi="Tahoma" w:cs="Tahoma"/>
          <w:b/>
        </w:rPr>
      </w:pPr>
      <w:r w:rsidRPr="00776215">
        <w:rPr>
          <w:rFonts w:ascii="Tahoma" w:hAnsi="Tahoma" w:cs="Tahoma"/>
          <w:b/>
          <w:lang w:val="es-ES" w:eastAsia="es-ES"/>
        </w:rPr>
        <w:t xml:space="preserve">4.1  </w:t>
      </w:r>
      <w:r w:rsidRPr="00CA76CA">
        <w:rPr>
          <w:rFonts w:ascii="Tahoma" w:hAnsi="Tahoma" w:cs="Tahoma"/>
          <w:b/>
        </w:rPr>
        <w:t>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FE17EF" w:rsidRPr="003911E6">
        <w:rPr>
          <w:rFonts w:ascii="Tahoma" w:hAnsi="Tahoma" w:cs="Tahoma"/>
          <w:color w:val="auto"/>
        </w:rPr>
        <w:t>Icononzo</w:t>
      </w:r>
      <w:r w:rsidR="00FE17EF">
        <w:rPr>
          <w:rFonts w:ascii="Tahoma" w:hAnsi="Tahoma" w:cs="Tahoma"/>
          <w:b/>
        </w:rPr>
        <w:t xml:space="preserve">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 xml:space="preserve">un  </w:t>
      </w:r>
      <w:r w:rsidR="000D34F0" w:rsidRPr="004E212A">
        <w:rPr>
          <w:rFonts w:ascii="Tahoma" w:hAnsi="Tahoma" w:cs="Tahoma"/>
          <w:b/>
          <w:u w:val="single"/>
        </w:rPr>
        <w:t>Défici</w:t>
      </w:r>
      <w:r w:rsidR="00B44FE7" w:rsidRPr="004E212A">
        <w:rPr>
          <w:rFonts w:ascii="Tahoma" w:hAnsi="Tahoma" w:cs="Tahoma"/>
          <w:b/>
          <w:u w:val="single"/>
        </w:rPr>
        <w:t>t</w:t>
      </w:r>
      <w:r w:rsidR="004F7914" w:rsidRPr="004E212A">
        <w:rPr>
          <w:rFonts w:ascii="Tahoma" w:hAnsi="Tahoma" w:cs="Tahoma"/>
          <w:b/>
          <w:u w:val="single"/>
        </w:rPr>
        <w:t xml:space="preserve"> presupuestal</w:t>
      </w:r>
      <w:r w:rsidR="004F7914" w:rsidRPr="00CA76CA">
        <w:rPr>
          <w:rFonts w:ascii="Tahoma" w:hAnsi="Tahoma" w:cs="Tahoma"/>
        </w:rPr>
        <w:t xml:space="preserve"> en la suma de </w:t>
      </w:r>
      <w:r w:rsidR="0014289A" w:rsidRPr="0014289A">
        <w:rPr>
          <w:rFonts w:ascii="Tahoma" w:eastAsia="Times New Roman" w:hAnsi="Tahoma" w:cs="Tahoma"/>
          <w:b/>
          <w:color w:val="auto"/>
          <w:sz w:val="20"/>
          <w:szCs w:val="20"/>
        </w:rPr>
        <w:t>$</w:t>
      </w:r>
      <w:r w:rsidR="004D0910">
        <w:rPr>
          <w:rFonts w:ascii="Tahoma" w:eastAsia="Times New Roman" w:hAnsi="Tahoma" w:cs="Tahoma"/>
          <w:b/>
          <w:color w:val="auto"/>
          <w:sz w:val="20"/>
          <w:szCs w:val="20"/>
        </w:rPr>
        <w:t>1.738.685.040</w:t>
      </w:r>
      <w:r w:rsidR="00C37791">
        <w:rPr>
          <w:rFonts w:ascii="Tahoma" w:eastAsia="Times New Roman" w:hAnsi="Tahoma" w:cs="Tahoma"/>
          <w:b/>
          <w:color w:val="auto"/>
          <w:sz w:val="20"/>
          <w:szCs w:val="20"/>
        </w:rPr>
        <w:t>.</w:t>
      </w:r>
      <w:r w:rsidR="0014289A" w:rsidRPr="0014289A">
        <w:rPr>
          <w:rFonts w:ascii="Tahoma" w:eastAsia="Times New Roman" w:hAnsi="Tahoma" w:cs="Tahoma"/>
          <w:b/>
          <w:color w:val="auto"/>
          <w:sz w:val="20"/>
          <w:szCs w:val="20"/>
        </w:rPr>
        <w:t>oo</w:t>
      </w:r>
      <w:r w:rsidR="004F7914" w:rsidRPr="00CA76CA">
        <w:rPr>
          <w:rFonts w:ascii="Tahoma" w:hAnsi="Tahoma" w:cs="Tahoma"/>
        </w:rPr>
        <w:t>, toda vez que el Total de los Gastos comprometidos</w:t>
      </w:r>
      <w:r w:rsidR="00E52376">
        <w:rPr>
          <w:rFonts w:ascii="Tahoma" w:hAnsi="Tahoma" w:cs="Tahoma"/>
        </w:rPr>
        <w:t xml:space="preserve"> de la vigencia</w:t>
      </w:r>
      <w:r w:rsidR="004F7914" w:rsidRPr="00CA76CA">
        <w:rPr>
          <w:rFonts w:ascii="Tahoma" w:hAnsi="Tahoma" w:cs="Tahoma"/>
        </w:rPr>
        <w:t xml:space="preserve">,  fueron </w:t>
      </w:r>
      <w:r w:rsidR="004E212A">
        <w:rPr>
          <w:rFonts w:ascii="Tahoma" w:hAnsi="Tahoma" w:cs="Tahoma"/>
        </w:rPr>
        <w:t>mayore</w:t>
      </w:r>
      <w:r w:rsidR="004F7914" w:rsidRPr="00CA76CA">
        <w:rPr>
          <w:rFonts w:ascii="Tahoma" w:hAnsi="Tahoma" w:cs="Tahoma"/>
        </w:rPr>
        <w:t>s a los ingresos efectivamente recaudados.  Ver Tabla.</w:t>
      </w:r>
    </w:p>
    <w:p w:rsidR="008C7A2F" w:rsidRDefault="008C7A2F" w:rsidP="00B212CE"/>
    <w:tbl>
      <w:tblPr>
        <w:tblW w:w="6812" w:type="dxa"/>
        <w:jc w:val="center"/>
        <w:tblCellMar>
          <w:left w:w="70" w:type="dxa"/>
          <w:right w:w="70" w:type="dxa"/>
        </w:tblCellMar>
        <w:tblLook w:val="04A0" w:firstRow="1" w:lastRow="0" w:firstColumn="1" w:lastColumn="0" w:noHBand="0" w:noVBand="1"/>
      </w:tblPr>
      <w:tblGrid>
        <w:gridCol w:w="2480"/>
        <w:gridCol w:w="1910"/>
        <w:gridCol w:w="2422"/>
      </w:tblGrid>
      <w:tr w:rsidR="00B44FE7" w:rsidRPr="00B44FE7" w:rsidTr="00247035">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2422"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247035">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4D0910">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4D0910">
              <w:rPr>
                <w:rFonts w:ascii="Tahoma" w:eastAsia="Times New Roman" w:hAnsi="Tahoma" w:cs="Tahoma"/>
                <w:color w:val="auto"/>
                <w:sz w:val="20"/>
                <w:szCs w:val="20"/>
              </w:rPr>
              <w:t>8.869.691.749.oo</w:t>
            </w:r>
          </w:p>
        </w:tc>
        <w:tc>
          <w:tcPr>
            <w:tcW w:w="191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4D0910">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4D0910">
              <w:rPr>
                <w:rFonts w:ascii="Tahoma" w:eastAsia="Times New Roman" w:hAnsi="Tahoma" w:cs="Tahoma"/>
                <w:color w:val="auto"/>
                <w:sz w:val="20"/>
                <w:szCs w:val="20"/>
              </w:rPr>
              <w:t>10.608.376.789</w:t>
            </w:r>
            <w:r w:rsidR="0014289A">
              <w:rPr>
                <w:rFonts w:ascii="Tahoma" w:eastAsia="Times New Roman" w:hAnsi="Tahoma" w:cs="Tahoma"/>
                <w:color w:val="auto"/>
                <w:sz w:val="20"/>
                <w:szCs w:val="20"/>
              </w:rPr>
              <w:t>.oo</w:t>
            </w:r>
            <w:r w:rsidRPr="00B44FE7">
              <w:rPr>
                <w:rFonts w:ascii="Tahoma" w:eastAsia="Times New Roman" w:hAnsi="Tahoma" w:cs="Tahoma"/>
                <w:color w:val="auto"/>
                <w:sz w:val="20"/>
                <w:szCs w:val="20"/>
              </w:rPr>
              <w:t xml:space="preserve"> </w:t>
            </w:r>
          </w:p>
        </w:tc>
        <w:tc>
          <w:tcPr>
            <w:tcW w:w="2422"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4D0910">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sidR="00247035" w:rsidRPr="00247035">
              <w:rPr>
                <w:rFonts w:ascii="Tahoma" w:eastAsia="Times New Roman" w:hAnsi="Tahoma" w:cs="Tahoma"/>
                <w:b/>
                <w:color w:val="auto"/>
                <w:sz w:val="20"/>
                <w:szCs w:val="20"/>
              </w:rPr>
              <w:t>-</w:t>
            </w:r>
            <w:r w:rsidRPr="00247035">
              <w:rPr>
                <w:rFonts w:ascii="Tahoma" w:eastAsia="Times New Roman" w:hAnsi="Tahoma" w:cs="Tahoma"/>
                <w:color w:val="auto"/>
                <w:sz w:val="20"/>
                <w:szCs w:val="20"/>
              </w:rPr>
              <w:t>$</w:t>
            </w:r>
            <w:r w:rsidR="004D0910">
              <w:rPr>
                <w:rFonts w:ascii="Tahoma" w:eastAsia="Times New Roman" w:hAnsi="Tahoma" w:cs="Tahoma"/>
                <w:color w:val="auto"/>
                <w:sz w:val="20"/>
                <w:szCs w:val="20"/>
              </w:rPr>
              <w:t>1.738.685.040</w:t>
            </w:r>
            <w:r w:rsidR="0014289A">
              <w:rPr>
                <w:rFonts w:ascii="Tahoma" w:eastAsia="Times New Roman" w:hAnsi="Tahoma" w:cs="Tahoma"/>
                <w:color w:val="auto"/>
                <w:sz w:val="20"/>
                <w:szCs w:val="20"/>
              </w:rPr>
              <w:t>.oo</w:t>
            </w:r>
            <w:r w:rsidRPr="00B44FE7">
              <w:rPr>
                <w:rFonts w:ascii="Tahoma" w:eastAsia="Times New Roman" w:hAnsi="Tahoma" w:cs="Tahoma"/>
                <w:color w:val="auto"/>
                <w:sz w:val="20"/>
                <w:szCs w:val="20"/>
              </w:rPr>
              <w:t xml:space="preserve"> </w:t>
            </w:r>
          </w:p>
        </w:tc>
      </w:tr>
    </w:tbl>
    <w:p w:rsidR="00477304" w:rsidRDefault="00477304" w:rsidP="00B212CE"/>
    <w:p w:rsidR="005C0DCB" w:rsidRDefault="00BD4C82" w:rsidP="0045772A">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r w:rsidR="005C0DCB">
        <w:rPr>
          <w:rFonts w:ascii="Tahoma" w:hAnsi="Tahoma" w:cs="Tahoma"/>
          <w:b/>
          <w:sz w:val="16"/>
        </w:rPr>
        <w:tab/>
      </w:r>
    </w:p>
    <w:sectPr w:rsidR="005C0DCB" w:rsidSect="005F4548">
      <w:headerReference w:type="default" r:id="rId16"/>
      <w:footerReference w:type="default" r:id="rId17"/>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9FB" w:rsidRDefault="008049FB" w:rsidP="00650A99">
      <w:r>
        <w:separator/>
      </w:r>
    </w:p>
  </w:endnote>
  <w:endnote w:type="continuationSeparator" w:id="0">
    <w:p w:rsidR="008049FB" w:rsidRDefault="008049FB"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BA" w:rsidRPr="00070555" w:rsidRDefault="00F82FBA">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4DBCDECC" wp14:editId="61BC0D73">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F82FBA" w:rsidRPr="00BB3D88"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F82FBA" w:rsidRPr="003205FF" w:rsidRDefault="00F810AF"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F82FBA" w:rsidRPr="003205FF">
                              <w:rPr>
                                <w:rStyle w:val="Hipervnculo"/>
                                <w:rFonts w:ascii="Tahoma" w:hAnsi="Tahoma" w:cs="Tahoma"/>
                                <w:color w:val="auto"/>
                                <w:sz w:val="18"/>
                                <w:szCs w:val="18"/>
                                <w:u w:val="none"/>
                              </w:rPr>
                              <w:t>despacho.contraloria@contraloriatolima.gov.co</w:t>
                            </w:r>
                          </w:hyperlink>
                        </w:p>
                        <w:p w:rsidR="00F82FBA" w:rsidRPr="000352F0" w:rsidRDefault="00F82FBA"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F82FBA" w:rsidRPr="00BB3D88" w:rsidRDefault="00F82FBA"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F82FBA" w:rsidRPr="00A926CE" w:rsidRDefault="00F82FBA"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CDECC"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F82FBA" w:rsidRPr="00BB3D88"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F82FBA" w:rsidRPr="003205FF" w:rsidRDefault="00F810AF"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F82FBA" w:rsidRPr="003205FF">
                        <w:rPr>
                          <w:rStyle w:val="Hipervnculo"/>
                          <w:rFonts w:ascii="Tahoma" w:hAnsi="Tahoma" w:cs="Tahoma"/>
                          <w:color w:val="auto"/>
                          <w:sz w:val="18"/>
                          <w:szCs w:val="18"/>
                          <w:u w:val="none"/>
                        </w:rPr>
                        <w:t>despacho.contraloria@contraloriatolima.gov.co</w:t>
                      </w:r>
                    </w:hyperlink>
                  </w:p>
                  <w:p w:rsidR="00F82FBA" w:rsidRPr="000352F0" w:rsidRDefault="00F82FBA"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F82FBA" w:rsidRPr="00BB3D88" w:rsidRDefault="00F82FBA"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F82FBA" w:rsidRPr="00A926CE" w:rsidRDefault="00F82FBA"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65CF0B6" wp14:editId="368B3A3A">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F82FBA" w:rsidRPr="003205FF" w:rsidRDefault="00F82FBA" w:rsidP="00B6483D">
                          <w:pPr>
                            <w:jc w:val="center"/>
                            <w:rPr>
                              <w:rFonts w:ascii="Tahoma" w:hAnsi="Tahoma" w:cs="Tahoma"/>
                              <w:sz w:val="14"/>
                              <w:szCs w:val="16"/>
                            </w:rPr>
                          </w:pPr>
                          <w:r>
                            <w:rPr>
                              <w:rFonts w:ascii="Tahoma" w:hAnsi="Tahoma" w:cs="Tahoma"/>
                              <w:sz w:val="14"/>
                              <w:szCs w:val="16"/>
                            </w:rPr>
                            <w:t>2</w:t>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F810AF" w:rsidRPr="00F810AF">
                            <w:rPr>
                              <w:rFonts w:ascii="Tahoma" w:hAnsi="Tahoma" w:cs="Tahoma"/>
                              <w:noProof/>
                              <w:sz w:val="14"/>
                              <w:szCs w:val="16"/>
                              <w:lang w:val="es-ES"/>
                            </w:rPr>
                            <w:t>11</w:t>
                          </w:r>
                          <w:r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CF0B6"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F82FBA" w:rsidRPr="003205FF" w:rsidRDefault="00F82FBA" w:rsidP="00B6483D">
                    <w:pPr>
                      <w:jc w:val="center"/>
                      <w:rPr>
                        <w:rFonts w:ascii="Tahoma" w:hAnsi="Tahoma" w:cs="Tahoma"/>
                        <w:sz w:val="14"/>
                        <w:szCs w:val="16"/>
                      </w:rPr>
                    </w:pPr>
                    <w:r>
                      <w:rPr>
                        <w:rFonts w:ascii="Tahoma" w:hAnsi="Tahoma" w:cs="Tahoma"/>
                        <w:sz w:val="14"/>
                        <w:szCs w:val="16"/>
                      </w:rPr>
                      <w:t>2</w:t>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F810AF" w:rsidRPr="00F810AF">
                      <w:rPr>
                        <w:rFonts w:ascii="Tahoma" w:hAnsi="Tahoma" w:cs="Tahoma"/>
                        <w:noProof/>
                        <w:sz w:val="14"/>
                        <w:szCs w:val="16"/>
                        <w:lang w:val="es-ES"/>
                      </w:rPr>
                      <w:t>11</w:t>
                    </w:r>
                    <w:r w:rsidRPr="003205FF">
                      <w:rPr>
                        <w:rFonts w:ascii="Tahoma" w:hAnsi="Tahoma" w:cs="Tahoma"/>
                        <w:sz w:val="14"/>
                        <w:szCs w:val="16"/>
                      </w:rPr>
                      <w:fldChar w:fldCharType="end"/>
                    </w:r>
                  </w:p>
                </w:txbxContent>
              </v:textbox>
            </v:shape>
          </w:pict>
        </mc:Fallback>
      </mc:AlternateContent>
    </w:r>
  </w:p>
  <w:p w:rsidR="00F82FBA" w:rsidRPr="00070555" w:rsidRDefault="00F82FBA">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9FB" w:rsidRDefault="008049FB" w:rsidP="00650A99">
      <w:r>
        <w:separator/>
      </w:r>
    </w:p>
  </w:footnote>
  <w:footnote w:type="continuationSeparator" w:id="0">
    <w:p w:rsidR="008049FB" w:rsidRDefault="008049FB"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BA" w:rsidRPr="00124F58" w:rsidRDefault="000E3034">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44803470"/>
    <w:multiLevelType w:val="multilevel"/>
    <w:tmpl w:val="DF4E5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3666"/>
    <w:rsid w:val="000043A7"/>
    <w:rsid w:val="0000440B"/>
    <w:rsid w:val="0000466A"/>
    <w:rsid w:val="00004FE1"/>
    <w:rsid w:val="0000509C"/>
    <w:rsid w:val="00014DDB"/>
    <w:rsid w:val="000229B5"/>
    <w:rsid w:val="00025419"/>
    <w:rsid w:val="00025DD5"/>
    <w:rsid w:val="000344EC"/>
    <w:rsid w:val="0003468E"/>
    <w:rsid w:val="000352F0"/>
    <w:rsid w:val="0003642F"/>
    <w:rsid w:val="000366A8"/>
    <w:rsid w:val="000367BB"/>
    <w:rsid w:val="00040B1A"/>
    <w:rsid w:val="00043E5E"/>
    <w:rsid w:val="000448FA"/>
    <w:rsid w:val="00044A36"/>
    <w:rsid w:val="00044B50"/>
    <w:rsid w:val="000479B3"/>
    <w:rsid w:val="00054A9B"/>
    <w:rsid w:val="00054CD9"/>
    <w:rsid w:val="0006131A"/>
    <w:rsid w:val="00062C97"/>
    <w:rsid w:val="000653AB"/>
    <w:rsid w:val="00067E63"/>
    <w:rsid w:val="00070555"/>
    <w:rsid w:val="000711BD"/>
    <w:rsid w:val="000714F0"/>
    <w:rsid w:val="0007281C"/>
    <w:rsid w:val="00072FEB"/>
    <w:rsid w:val="00073152"/>
    <w:rsid w:val="00073B9C"/>
    <w:rsid w:val="000740A1"/>
    <w:rsid w:val="00074463"/>
    <w:rsid w:val="00075575"/>
    <w:rsid w:val="000768A7"/>
    <w:rsid w:val="00081209"/>
    <w:rsid w:val="00081BF9"/>
    <w:rsid w:val="000820BD"/>
    <w:rsid w:val="00084A9E"/>
    <w:rsid w:val="00084FFA"/>
    <w:rsid w:val="00090CA2"/>
    <w:rsid w:val="00092425"/>
    <w:rsid w:val="00093AFB"/>
    <w:rsid w:val="00094D4C"/>
    <w:rsid w:val="000A1063"/>
    <w:rsid w:val="000B0BC7"/>
    <w:rsid w:val="000B1067"/>
    <w:rsid w:val="000B1E37"/>
    <w:rsid w:val="000B2584"/>
    <w:rsid w:val="000B334F"/>
    <w:rsid w:val="000B45AA"/>
    <w:rsid w:val="000B720D"/>
    <w:rsid w:val="000B79B3"/>
    <w:rsid w:val="000C19B8"/>
    <w:rsid w:val="000C2451"/>
    <w:rsid w:val="000C2D28"/>
    <w:rsid w:val="000C524A"/>
    <w:rsid w:val="000C640F"/>
    <w:rsid w:val="000C699D"/>
    <w:rsid w:val="000D213C"/>
    <w:rsid w:val="000D251E"/>
    <w:rsid w:val="000D2896"/>
    <w:rsid w:val="000D34F0"/>
    <w:rsid w:val="000D715E"/>
    <w:rsid w:val="000D734C"/>
    <w:rsid w:val="000E117C"/>
    <w:rsid w:val="000E1A99"/>
    <w:rsid w:val="000E3034"/>
    <w:rsid w:val="000E644B"/>
    <w:rsid w:val="000E6AAA"/>
    <w:rsid w:val="000F17B4"/>
    <w:rsid w:val="000F2E89"/>
    <w:rsid w:val="000F4FA1"/>
    <w:rsid w:val="000F5879"/>
    <w:rsid w:val="000F669B"/>
    <w:rsid w:val="0010060F"/>
    <w:rsid w:val="0010414B"/>
    <w:rsid w:val="001055EC"/>
    <w:rsid w:val="00105A89"/>
    <w:rsid w:val="001076B9"/>
    <w:rsid w:val="001077DC"/>
    <w:rsid w:val="00111B97"/>
    <w:rsid w:val="00113518"/>
    <w:rsid w:val="00120691"/>
    <w:rsid w:val="001206EF"/>
    <w:rsid w:val="00124F58"/>
    <w:rsid w:val="001301DF"/>
    <w:rsid w:val="00131E4E"/>
    <w:rsid w:val="00132C47"/>
    <w:rsid w:val="0013431C"/>
    <w:rsid w:val="001361E3"/>
    <w:rsid w:val="00136B11"/>
    <w:rsid w:val="0014091C"/>
    <w:rsid w:val="0014289A"/>
    <w:rsid w:val="0014349F"/>
    <w:rsid w:val="0014355A"/>
    <w:rsid w:val="0014403D"/>
    <w:rsid w:val="00146B0F"/>
    <w:rsid w:val="0015068C"/>
    <w:rsid w:val="00150761"/>
    <w:rsid w:val="00150875"/>
    <w:rsid w:val="001531E5"/>
    <w:rsid w:val="00153A3B"/>
    <w:rsid w:val="001542DE"/>
    <w:rsid w:val="001605A0"/>
    <w:rsid w:val="0016372F"/>
    <w:rsid w:val="00163FB1"/>
    <w:rsid w:val="001641C1"/>
    <w:rsid w:val="00164C7B"/>
    <w:rsid w:val="00164E1E"/>
    <w:rsid w:val="001663AE"/>
    <w:rsid w:val="00166D26"/>
    <w:rsid w:val="0017250D"/>
    <w:rsid w:val="001734CC"/>
    <w:rsid w:val="00174209"/>
    <w:rsid w:val="00174640"/>
    <w:rsid w:val="00174ED6"/>
    <w:rsid w:val="001750E0"/>
    <w:rsid w:val="00176EEF"/>
    <w:rsid w:val="001771C0"/>
    <w:rsid w:val="00181EE3"/>
    <w:rsid w:val="0018596D"/>
    <w:rsid w:val="001863EB"/>
    <w:rsid w:val="00191CBF"/>
    <w:rsid w:val="00196F51"/>
    <w:rsid w:val="001A3646"/>
    <w:rsid w:val="001A5473"/>
    <w:rsid w:val="001B0E71"/>
    <w:rsid w:val="001B29EB"/>
    <w:rsid w:val="001B475A"/>
    <w:rsid w:val="001B50D0"/>
    <w:rsid w:val="001B6C00"/>
    <w:rsid w:val="001B7E9B"/>
    <w:rsid w:val="001C01E8"/>
    <w:rsid w:val="001C1E2D"/>
    <w:rsid w:val="001C1EA3"/>
    <w:rsid w:val="001C4742"/>
    <w:rsid w:val="001C5A39"/>
    <w:rsid w:val="001C7699"/>
    <w:rsid w:val="001D01D1"/>
    <w:rsid w:val="001D1380"/>
    <w:rsid w:val="001D1B45"/>
    <w:rsid w:val="001D31AB"/>
    <w:rsid w:val="001D3576"/>
    <w:rsid w:val="001D5CA9"/>
    <w:rsid w:val="001D6862"/>
    <w:rsid w:val="001D7D6A"/>
    <w:rsid w:val="001E008D"/>
    <w:rsid w:val="001E0386"/>
    <w:rsid w:val="001E09D9"/>
    <w:rsid w:val="001E0C5A"/>
    <w:rsid w:val="001E1930"/>
    <w:rsid w:val="001E19D5"/>
    <w:rsid w:val="001E2CF6"/>
    <w:rsid w:val="001E479B"/>
    <w:rsid w:val="001F0D65"/>
    <w:rsid w:val="001F11A4"/>
    <w:rsid w:val="001F3599"/>
    <w:rsid w:val="001F3E0C"/>
    <w:rsid w:val="001F4762"/>
    <w:rsid w:val="001F7AEE"/>
    <w:rsid w:val="002016AE"/>
    <w:rsid w:val="00201E97"/>
    <w:rsid w:val="00202B7B"/>
    <w:rsid w:val="002049C5"/>
    <w:rsid w:val="00211946"/>
    <w:rsid w:val="00213F57"/>
    <w:rsid w:val="00214DD0"/>
    <w:rsid w:val="00216974"/>
    <w:rsid w:val="00217489"/>
    <w:rsid w:val="002206E8"/>
    <w:rsid w:val="00224140"/>
    <w:rsid w:val="00226503"/>
    <w:rsid w:val="00227F78"/>
    <w:rsid w:val="00230103"/>
    <w:rsid w:val="00231648"/>
    <w:rsid w:val="00231AC8"/>
    <w:rsid w:val="00231ECA"/>
    <w:rsid w:val="00233415"/>
    <w:rsid w:val="00247035"/>
    <w:rsid w:val="00250B2A"/>
    <w:rsid w:val="002510E7"/>
    <w:rsid w:val="00254A87"/>
    <w:rsid w:val="0025641D"/>
    <w:rsid w:val="00256442"/>
    <w:rsid w:val="00256F6A"/>
    <w:rsid w:val="0026039E"/>
    <w:rsid w:val="002628DC"/>
    <w:rsid w:val="00264A57"/>
    <w:rsid w:val="00267A53"/>
    <w:rsid w:val="002702FE"/>
    <w:rsid w:val="00272E50"/>
    <w:rsid w:val="002733BF"/>
    <w:rsid w:val="002751D2"/>
    <w:rsid w:val="002761E7"/>
    <w:rsid w:val="00277CE1"/>
    <w:rsid w:val="00282118"/>
    <w:rsid w:val="00282A1A"/>
    <w:rsid w:val="00282AFE"/>
    <w:rsid w:val="00287CE6"/>
    <w:rsid w:val="00292AA4"/>
    <w:rsid w:val="002932E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6D05"/>
    <w:rsid w:val="002B7EA5"/>
    <w:rsid w:val="002C19FA"/>
    <w:rsid w:val="002C24CB"/>
    <w:rsid w:val="002D376E"/>
    <w:rsid w:val="002D5091"/>
    <w:rsid w:val="002D62AF"/>
    <w:rsid w:val="002D73B8"/>
    <w:rsid w:val="002E34BD"/>
    <w:rsid w:val="002E4D5C"/>
    <w:rsid w:val="002E6C96"/>
    <w:rsid w:val="002F0376"/>
    <w:rsid w:val="002F13E5"/>
    <w:rsid w:val="002F1B9A"/>
    <w:rsid w:val="002F3B9C"/>
    <w:rsid w:val="00300E2D"/>
    <w:rsid w:val="00301907"/>
    <w:rsid w:val="00302682"/>
    <w:rsid w:val="003026A2"/>
    <w:rsid w:val="00303824"/>
    <w:rsid w:val="003066F8"/>
    <w:rsid w:val="003141AA"/>
    <w:rsid w:val="00314840"/>
    <w:rsid w:val="00317880"/>
    <w:rsid w:val="003203FA"/>
    <w:rsid w:val="003205FF"/>
    <w:rsid w:val="0032099D"/>
    <w:rsid w:val="00321EC8"/>
    <w:rsid w:val="00322659"/>
    <w:rsid w:val="0032401F"/>
    <w:rsid w:val="003305B2"/>
    <w:rsid w:val="003326A6"/>
    <w:rsid w:val="00332DE4"/>
    <w:rsid w:val="003372AC"/>
    <w:rsid w:val="00337AB0"/>
    <w:rsid w:val="00337E10"/>
    <w:rsid w:val="0034022F"/>
    <w:rsid w:val="00341B3E"/>
    <w:rsid w:val="00345C19"/>
    <w:rsid w:val="003509BF"/>
    <w:rsid w:val="0035110E"/>
    <w:rsid w:val="00351487"/>
    <w:rsid w:val="0035231F"/>
    <w:rsid w:val="003539AE"/>
    <w:rsid w:val="003559D7"/>
    <w:rsid w:val="00356B3F"/>
    <w:rsid w:val="00362AAB"/>
    <w:rsid w:val="00367CB1"/>
    <w:rsid w:val="00370F6C"/>
    <w:rsid w:val="00372933"/>
    <w:rsid w:val="00372F40"/>
    <w:rsid w:val="00373B6D"/>
    <w:rsid w:val="003751E2"/>
    <w:rsid w:val="00375CC7"/>
    <w:rsid w:val="00382640"/>
    <w:rsid w:val="003834EF"/>
    <w:rsid w:val="00383D8B"/>
    <w:rsid w:val="003911E6"/>
    <w:rsid w:val="00391503"/>
    <w:rsid w:val="0039183D"/>
    <w:rsid w:val="00391C14"/>
    <w:rsid w:val="00392FBA"/>
    <w:rsid w:val="00394BA1"/>
    <w:rsid w:val="0039515F"/>
    <w:rsid w:val="003956E5"/>
    <w:rsid w:val="00396E50"/>
    <w:rsid w:val="0039725F"/>
    <w:rsid w:val="00397766"/>
    <w:rsid w:val="003A15E7"/>
    <w:rsid w:val="003A2A88"/>
    <w:rsid w:val="003A4812"/>
    <w:rsid w:val="003A497B"/>
    <w:rsid w:val="003A5822"/>
    <w:rsid w:val="003B030A"/>
    <w:rsid w:val="003B35B9"/>
    <w:rsid w:val="003B6AFE"/>
    <w:rsid w:val="003B7D8A"/>
    <w:rsid w:val="003C13D1"/>
    <w:rsid w:val="003C2C8D"/>
    <w:rsid w:val="003C33E8"/>
    <w:rsid w:val="003C3845"/>
    <w:rsid w:val="003C5E57"/>
    <w:rsid w:val="003C703A"/>
    <w:rsid w:val="003D1976"/>
    <w:rsid w:val="003D4B2C"/>
    <w:rsid w:val="003D5FB8"/>
    <w:rsid w:val="003D7840"/>
    <w:rsid w:val="003E428B"/>
    <w:rsid w:val="003F0FDF"/>
    <w:rsid w:val="003F36EF"/>
    <w:rsid w:val="003F39A5"/>
    <w:rsid w:val="003F4BDE"/>
    <w:rsid w:val="003F512B"/>
    <w:rsid w:val="003F5E08"/>
    <w:rsid w:val="00400814"/>
    <w:rsid w:val="00401619"/>
    <w:rsid w:val="00403019"/>
    <w:rsid w:val="004032C1"/>
    <w:rsid w:val="00406E90"/>
    <w:rsid w:val="00407637"/>
    <w:rsid w:val="00407773"/>
    <w:rsid w:val="004120E2"/>
    <w:rsid w:val="00415CC3"/>
    <w:rsid w:val="00425FF4"/>
    <w:rsid w:val="004260B3"/>
    <w:rsid w:val="00426414"/>
    <w:rsid w:val="00430D77"/>
    <w:rsid w:val="004312CF"/>
    <w:rsid w:val="0043141A"/>
    <w:rsid w:val="00433EE8"/>
    <w:rsid w:val="00441F50"/>
    <w:rsid w:val="00441F85"/>
    <w:rsid w:val="0044795F"/>
    <w:rsid w:val="00452E65"/>
    <w:rsid w:val="00454315"/>
    <w:rsid w:val="00454B8B"/>
    <w:rsid w:val="0045772A"/>
    <w:rsid w:val="004643ED"/>
    <w:rsid w:val="0046718C"/>
    <w:rsid w:val="00467508"/>
    <w:rsid w:val="00467595"/>
    <w:rsid w:val="00471A9A"/>
    <w:rsid w:val="00472801"/>
    <w:rsid w:val="00473EB7"/>
    <w:rsid w:val="004761AF"/>
    <w:rsid w:val="00477304"/>
    <w:rsid w:val="004803CC"/>
    <w:rsid w:val="00480FCA"/>
    <w:rsid w:val="00481340"/>
    <w:rsid w:val="00481490"/>
    <w:rsid w:val="0048203B"/>
    <w:rsid w:val="00482348"/>
    <w:rsid w:val="0048241E"/>
    <w:rsid w:val="00485A4C"/>
    <w:rsid w:val="00487931"/>
    <w:rsid w:val="00490E57"/>
    <w:rsid w:val="00493608"/>
    <w:rsid w:val="004939F0"/>
    <w:rsid w:val="00493CDB"/>
    <w:rsid w:val="00494AA1"/>
    <w:rsid w:val="00496012"/>
    <w:rsid w:val="00496461"/>
    <w:rsid w:val="00496A15"/>
    <w:rsid w:val="004A00E3"/>
    <w:rsid w:val="004A24B6"/>
    <w:rsid w:val="004A6393"/>
    <w:rsid w:val="004A698D"/>
    <w:rsid w:val="004A7153"/>
    <w:rsid w:val="004B10C8"/>
    <w:rsid w:val="004B1676"/>
    <w:rsid w:val="004B3739"/>
    <w:rsid w:val="004B3A5F"/>
    <w:rsid w:val="004B6845"/>
    <w:rsid w:val="004B6F3C"/>
    <w:rsid w:val="004B791D"/>
    <w:rsid w:val="004B7B3F"/>
    <w:rsid w:val="004B7C3B"/>
    <w:rsid w:val="004C10FE"/>
    <w:rsid w:val="004C250E"/>
    <w:rsid w:val="004C27B6"/>
    <w:rsid w:val="004C4E76"/>
    <w:rsid w:val="004C4EC5"/>
    <w:rsid w:val="004D0347"/>
    <w:rsid w:val="004D0910"/>
    <w:rsid w:val="004D13A4"/>
    <w:rsid w:val="004D53B6"/>
    <w:rsid w:val="004E028D"/>
    <w:rsid w:val="004E0A6B"/>
    <w:rsid w:val="004E1489"/>
    <w:rsid w:val="004E17F3"/>
    <w:rsid w:val="004E212A"/>
    <w:rsid w:val="004E217B"/>
    <w:rsid w:val="004E3F57"/>
    <w:rsid w:val="004E518A"/>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66"/>
    <w:rsid w:val="005150C9"/>
    <w:rsid w:val="00515BBF"/>
    <w:rsid w:val="00516441"/>
    <w:rsid w:val="00516E68"/>
    <w:rsid w:val="005172FE"/>
    <w:rsid w:val="00517351"/>
    <w:rsid w:val="00517C86"/>
    <w:rsid w:val="00520FA4"/>
    <w:rsid w:val="00521391"/>
    <w:rsid w:val="005220BC"/>
    <w:rsid w:val="00522858"/>
    <w:rsid w:val="00523B2E"/>
    <w:rsid w:val="00524E1D"/>
    <w:rsid w:val="0052650A"/>
    <w:rsid w:val="00526C01"/>
    <w:rsid w:val="00527649"/>
    <w:rsid w:val="005279E8"/>
    <w:rsid w:val="005325B4"/>
    <w:rsid w:val="0053385B"/>
    <w:rsid w:val="00536B82"/>
    <w:rsid w:val="0054263E"/>
    <w:rsid w:val="005427C3"/>
    <w:rsid w:val="005463E0"/>
    <w:rsid w:val="0054739F"/>
    <w:rsid w:val="00551911"/>
    <w:rsid w:val="00551920"/>
    <w:rsid w:val="00552A0E"/>
    <w:rsid w:val="00552B7F"/>
    <w:rsid w:val="00552CB9"/>
    <w:rsid w:val="0055306E"/>
    <w:rsid w:val="005540CE"/>
    <w:rsid w:val="00554A6E"/>
    <w:rsid w:val="00560B0C"/>
    <w:rsid w:val="00562B5C"/>
    <w:rsid w:val="00563CF0"/>
    <w:rsid w:val="00563D53"/>
    <w:rsid w:val="00564882"/>
    <w:rsid w:val="00564B66"/>
    <w:rsid w:val="00565F73"/>
    <w:rsid w:val="0056750E"/>
    <w:rsid w:val="00567980"/>
    <w:rsid w:val="005679E4"/>
    <w:rsid w:val="00570EEE"/>
    <w:rsid w:val="00571490"/>
    <w:rsid w:val="005760BF"/>
    <w:rsid w:val="00576831"/>
    <w:rsid w:val="00577624"/>
    <w:rsid w:val="00577ABF"/>
    <w:rsid w:val="00581A4A"/>
    <w:rsid w:val="00582CF0"/>
    <w:rsid w:val="005857D2"/>
    <w:rsid w:val="00585BCF"/>
    <w:rsid w:val="00585ED0"/>
    <w:rsid w:val="0058720B"/>
    <w:rsid w:val="005916D2"/>
    <w:rsid w:val="00591B11"/>
    <w:rsid w:val="00595C35"/>
    <w:rsid w:val="00595DA7"/>
    <w:rsid w:val="00595ED2"/>
    <w:rsid w:val="00596486"/>
    <w:rsid w:val="005A6091"/>
    <w:rsid w:val="005A61E4"/>
    <w:rsid w:val="005A66BA"/>
    <w:rsid w:val="005B1E55"/>
    <w:rsid w:val="005B6E10"/>
    <w:rsid w:val="005B6F12"/>
    <w:rsid w:val="005B78BE"/>
    <w:rsid w:val="005C0BE3"/>
    <w:rsid w:val="005C0DCB"/>
    <w:rsid w:val="005C2311"/>
    <w:rsid w:val="005C46B0"/>
    <w:rsid w:val="005C584D"/>
    <w:rsid w:val="005C59D9"/>
    <w:rsid w:val="005D173F"/>
    <w:rsid w:val="005D17BC"/>
    <w:rsid w:val="005D1C2D"/>
    <w:rsid w:val="005D4B42"/>
    <w:rsid w:val="005D655F"/>
    <w:rsid w:val="005D6811"/>
    <w:rsid w:val="005D6B64"/>
    <w:rsid w:val="005E0382"/>
    <w:rsid w:val="005E0758"/>
    <w:rsid w:val="005E0E4A"/>
    <w:rsid w:val="005E1D3C"/>
    <w:rsid w:val="005E1DE9"/>
    <w:rsid w:val="005E5E78"/>
    <w:rsid w:val="005F11EA"/>
    <w:rsid w:val="005F2A16"/>
    <w:rsid w:val="005F4548"/>
    <w:rsid w:val="005F4A02"/>
    <w:rsid w:val="005F5D93"/>
    <w:rsid w:val="00603AAD"/>
    <w:rsid w:val="00604208"/>
    <w:rsid w:val="00604368"/>
    <w:rsid w:val="00604E5C"/>
    <w:rsid w:val="006075BD"/>
    <w:rsid w:val="006102B8"/>
    <w:rsid w:val="006120DA"/>
    <w:rsid w:val="00616C3A"/>
    <w:rsid w:val="0061755E"/>
    <w:rsid w:val="00617E98"/>
    <w:rsid w:val="00622F53"/>
    <w:rsid w:val="00624D66"/>
    <w:rsid w:val="006305A5"/>
    <w:rsid w:val="006309B9"/>
    <w:rsid w:val="00636089"/>
    <w:rsid w:val="00640913"/>
    <w:rsid w:val="00641842"/>
    <w:rsid w:val="00647F66"/>
    <w:rsid w:val="00650A99"/>
    <w:rsid w:val="00652CEE"/>
    <w:rsid w:val="0065485A"/>
    <w:rsid w:val="0066026B"/>
    <w:rsid w:val="0066086C"/>
    <w:rsid w:val="00664223"/>
    <w:rsid w:val="00670BA5"/>
    <w:rsid w:val="00670D69"/>
    <w:rsid w:val="00674492"/>
    <w:rsid w:val="0067483D"/>
    <w:rsid w:val="006753C6"/>
    <w:rsid w:val="00676443"/>
    <w:rsid w:val="00677A07"/>
    <w:rsid w:val="006806F7"/>
    <w:rsid w:val="006807AC"/>
    <w:rsid w:val="00682367"/>
    <w:rsid w:val="00682C69"/>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B767F"/>
    <w:rsid w:val="006C11E8"/>
    <w:rsid w:val="006C4CD4"/>
    <w:rsid w:val="006C7116"/>
    <w:rsid w:val="006D2B4A"/>
    <w:rsid w:val="006D521C"/>
    <w:rsid w:val="006D569B"/>
    <w:rsid w:val="006D7C83"/>
    <w:rsid w:val="006E21C8"/>
    <w:rsid w:val="006E4583"/>
    <w:rsid w:val="006E5817"/>
    <w:rsid w:val="006F03F4"/>
    <w:rsid w:val="006F26B2"/>
    <w:rsid w:val="006F58C5"/>
    <w:rsid w:val="006F5B7D"/>
    <w:rsid w:val="006F7B44"/>
    <w:rsid w:val="00700DA8"/>
    <w:rsid w:val="00700DB0"/>
    <w:rsid w:val="0070120A"/>
    <w:rsid w:val="00702901"/>
    <w:rsid w:val="007042C0"/>
    <w:rsid w:val="0070483E"/>
    <w:rsid w:val="007050ED"/>
    <w:rsid w:val="007057E8"/>
    <w:rsid w:val="007062D9"/>
    <w:rsid w:val="00706545"/>
    <w:rsid w:val="00707F65"/>
    <w:rsid w:val="00712F01"/>
    <w:rsid w:val="00713F75"/>
    <w:rsid w:val="00717687"/>
    <w:rsid w:val="00721A74"/>
    <w:rsid w:val="00725E02"/>
    <w:rsid w:val="00726264"/>
    <w:rsid w:val="0073154E"/>
    <w:rsid w:val="007344EA"/>
    <w:rsid w:val="00735592"/>
    <w:rsid w:val="00736B63"/>
    <w:rsid w:val="00740BC2"/>
    <w:rsid w:val="00741448"/>
    <w:rsid w:val="007430EF"/>
    <w:rsid w:val="00743253"/>
    <w:rsid w:val="00743E1A"/>
    <w:rsid w:val="00745063"/>
    <w:rsid w:val="00745F39"/>
    <w:rsid w:val="00747180"/>
    <w:rsid w:val="00751860"/>
    <w:rsid w:val="00755B8D"/>
    <w:rsid w:val="00760198"/>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3718"/>
    <w:rsid w:val="00775756"/>
    <w:rsid w:val="00776215"/>
    <w:rsid w:val="007828B7"/>
    <w:rsid w:val="00782F33"/>
    <w:rsid w:val="0078344D"/>
    <w:rsid w:val="007857D0"/>
    <w:rsid w:val="007877F3"/>
    <w:rsid w:val="00790020"/>
    <w:rsid w:val="00790739"/>
    <w:rsid w:val="00792612"/>
    <w:rsid w:val="00796DDA"/>
    <w:rsid w:val="007A35B9"/>
    <w:rsid w:val="007A4D8D"/>
    <w:rsid w:val="007B2470"/>
    <w:rsid w:val="007B4882"/>
    <w:rsid w:val="007B5621"/>
    <w:rsid w:val="007B5998"/>
    <w:rsid w:val="007B6AD6"/>
    <w:rsid w:val="007B6F76"/>
    <w:rsid w:val="007B70F7"/>
    <w:rsid w:val="007C336F"/>
    <w:rsid w:val="007C4270"/>
    <w:rsid w:val="007C44A2"/>
    <w:rsid w:val="007C450B"/>
    <w:rsid w:val="007C4578"/>
    <w:rsid w:val="007C532D"/>
    <w:rsid w:val="007D2E65"/>
    <w:rsid w:val="007D411F"/>
    <w:rsid w:val="007E1795"/>
    <w:rsid w:val="007E2A4C"/>
    <w:rsid w:val="007E35B4"/>
    <w:rsid w:val="007E45F2"/>
    <w:rsid w:val="007E5237"/>
    <w:rsid w:val="007F2F30"/>
    <w:rsid w:val="007F37C0"/>
    <w:rsid w:val="007F40C8"/>
    <w:rsid w:val="007F5A79"/>
    <w:rsid w:val="007F6500"/>
    <w:rsid w:val="007F773D"/>
    <w:rsid w:val="007F7858"/>
    <w:rsid w:val="007F7C04"/>
    <w:rsid w:val="00800EA9"/>
    <w:rsid w:val="008032B9"/>
    <w:rsid w:val="008036D7"/>
    <w:rsid w:val="008049FB"/>
    <w:rsid w:val="00804D2D"/>
    <w:rsid w:val="00805925"/>
    <w:rsid w:val="00806566"/>
    <w:rsid w:val="00807EFC"/>
    <w:rsid w:val="00810084"/>
    <w:rsid w:val="00811831"/>
    <w:rsid w:val="008120FD"/>
    <w:rsid w:val="008127B5"/>
    <w:rsid w:val="00815CEE"/>
    <w:rsid w:val="00815D0B"/>
    <w:rsid w:val="008165BB"/>
    <w:rsid w:val="008175B2"/>
    <w:rsid w:val="00817D8E"/>
    <w:rsid w:val="00820529"/>
    <w:rsid w:val="00820A3F"/>
    <w:rsid w:val="00821C06"/>
    <w:rsid w:val="00821EDD"/>
    <w:rsid w:val="00826FF2"/>
    <w:rsid w:val="00827082"/>
    <w:rsid w:val="0083178E"/>
    <w:rsid w:val="00832014"/>
    <w:rsid w:val="008369B2"/>
    <w:rsid w:val="00836C5C"/>
    <w:rsid w:val="008374DF"/>
    <w:rsid w:val="008375EB"/>
    <w:rsid w:val="008442CE"/>
    <w:rsid w:val="008445AE"/>
    <w:rsid w:val="00844F12"/>
    <w:rsid w:val="0084571C"/>
    <w:rsid w:val="0085084F"/>
    <w:rsid w:val="00852E16"/>
    <w:rsid w:val="0085709B"/>
    <w:rsid w:val="00857DE1"/>
    <w:rsid w:val="00862E28"/>
    <w:rsid w:val="008646D2"/>
    <w:rsid w:val="008647D1"/>
    <w:rsid w:val="00864DF0"/>
    <w:rsid w:val="00865165"/>
    <w:rsid w:val="00865411"/>
    <w:rsid w:val="00870C3E"/>
    <w:rsid w:val="0087308F"/>
    <w:rsid w:val="00873FB4"/>
    <w:rsid w:val="0087506E"/>
    <w:rsid w:val="008751D9"/>
    <w:rsid w:val="008761A0"/>
    <w:rsid w:val="008762C3"/>
    <w:rsid w:val="00876444"/>
    <w:rsid w:val="00881C9C"/>
    <w:rsid w:val="008871D1"/>
    <w:rsid w:val="0088732D"/>
    <w:rsid w:val="008956AB"/>
    <w:rsid w:val="00896EAD"/>
    <w:rsid w:val="008A0307"/>
    <w:rsid w:val="008A3FB8"/>
    <w:rsid w:val="008A4B1D"/>
    <w:rsid w:val="008A5D7F"/>
    <w:rsid w:val="008B0625"/>
    <w:rsid w:val="008B0A18"/>
    <w:rsid w:val="008B30C9"/>
    <w:rsid w:val="008B3A69"/>
    <w:rsid w:val="008B5731"/>
    <w:rsid w:val="008B7176"/>
    <w:rsid w:val="008C00FD"/>
    <w:rsid w:val="008C10F9"/>
    <w:rsid w:val="008C11BF"/>
    <w:rsid w:val="008C2780"/>
    <w:rsid w:val="008C2EA2"/>
    <w:rsid w:val="008C73D6"/>
    <w:rsid w:val="008C7A2F"/>
    <w:rsid w:val="008C7B9C"/>
    <w:rsid w:val="008D04FA"/>
    <w:rsid w:val="008D24B0"/>
    <w:rsid w:val="008D2D24"/>
    <w:rsid w:val="008E2ADB"/>
    <w:rsid w:val="008E40B7"/>
    <w:rsid w:val="008E6775"/>
    <w:rsid w:val="008E78EB"/>
    <w:rsid w:val="008F01DE"/>
    <w:rsid w:val="008F57E4"/>
    <w:rsid w:val="008F6815"/>
    <w:rsid w:val="00901C37"/>
    <w:rsid w:val="00902FDE"/>
    <w:rsid w:val="009058D0"/>
    <w:rsid w:val="00907660"/>
    <w:rsid w:val="00913AD5"/>
    <w:rsid w:val="00914565"/>
    <w:rsid w:val="009148E7"/>
    <w:rsid w:val="00915224"/>
    <w:rsid w:val="00921980"/>
    <w:rsid w:val="00926286"/>
    <w:rsid w:val="00926317"/>
    <w:rsid w:val="00926B45"/>
    <w:rsid w:val="0093138C"/>
    <w:rsid w:val="00933184"/>
    <w:rsid w:val="00934CE3"/>
    <w:rsid w:val="00941DC5"/>
    <w:rsid w:val="00942F02"/>
    <w:rsid w:val="00943029"/>
    <w:rsid w:val="009430A5"/>
    <w:rsid w:val="0094723D"/>
    <w:rsid w:val="009509DD"/>
    <w:rsid w:val="00950A8A"/>
    <w:rsid w:val="009531E2"/>
    <w:rsid w:val="00953438"/>
    <w:rsid w:val="00956098"/>
    <w:rsid w:val="009606B3"/>
    <w:rsid w:val="0096177F"/>
    <w:rsid w:val="00961788"/>
    <w:rsid w:val="0096241A"/>
    <w:rsid w:val="00966EAD"/>
    <w:rsid w:val="00972EE9"/>
    <w:rsid w:val="00973D1A"/>
    <w:rsid w:val="0097536C"/>
    <w:rsid w:val="00975968"/>
    <w:rsid w:val="0097627C"/>
    <w:rsid w:val="0098143F"/>
    <w:rsid w:val="00982549"/>
    <w:rsid w:val="009848DF"/>
    <w:rsid w:val="00986F71"/>
    <w:rsid w:val="00990B51"/>
    <w:rsid w:val="0099278C"/>
    <w:rsid w:val="00996A17"/>
    <w:rsid w:val="009A0A28"/>
    <w:rsid w:val="009A236F"/>
    <w:rsid w:val="009A3F4E"/>
    <w:rsid w:val="009A5596"/>
    <w:rsid w:val="009A67EB"/>
    <w:rsid w:val="009A6D77"/>
    <w:rsid w:val="009A7AA1"/>
    <w:rsid w:val="009B2860"/>
    <w:rsid w:val="009B2FAE"/>
    <w:rsid w:val="009B38B1"/>
    <w:rsid w:val="009B4265"/>
    <w:rsid w:val="009B59DD"/>
    <w:rsid w:val="009B7AC7"/>
    <w:rsid w:val="009C0615"/>
    <w:rsid w:val="009C3106"/>
    <w:rsid w:val="009C3354"/>
    <w:rsid w:val="009C4C48"/>
    <w:rsid w:val="009C5C1A"/>
    <w:rsid w:val="009C7A81"/>
    <w:rsid w:val="009C7C0D"/>
    <w:rsid w:val="009D4B99"/>
    <w:rsid w:val="009D7ECE"/>
    <w:rsid w:val="009E0CF7"/>
    <w:rsid w:val="009E2C78"/>
    <w:rsid w:val="009E3018"/>
    <w:rsid w:val="009E5D05"/>
    <w:rsid w:val="009E77D8"/>
    <w:rsid w:val="009F0492"/>
    <w:rsid w:val="009F0FBE"/>
    <w:rsid w:val="009F2029"/>
    <w:rsid w:val="009F248B"/>
    <w:rsid w:val="009F6412"/>
    <w:rsid w:val="009F6636"/>
    <w:rsid w:val="00A006DE"/>
    <w:rsid w:val="00A0382D"/>
    <w:rsid w:val="00A03A61"/>
    <w:rsid w:val="00A05791"/>
    <w:rsid w:val="00A05F58"/>
    <w:rsid w:val="00A07EF9"/>
    <w:rsid w:val="00A11B42"/>
    <w:rsid w:val="00A13AE4"/>
    <w:rsid w:val="00A20940"/>
    <w:rsid w:val="00A24C85"/>
    <w:rsid w:val="00A258F0"/>
    <w:rsid w:val="00A329EF"/>
    <w:rsid w:val="00A34FD5"/>
    <w:rsid w:val="00A36083"/>
    <w:rsid w:val="00A36A80"/>
    <w:rsid w:val="00A43CD6"/>
    <w:rsid w:val="00A43FC3"/>
    <w:rsid w:val="00A44621"/>
    <w:rsid w:val="00A47C6A"/>
    <w:rsid w:val="00A47CA0"/>
    <w:rsid w:val="00A54B0D"/>
    <w:rsid w:val="00A566FE"/>
    <w:rsid w:val="00A57CC2"/>
    <w:rsid w:val="00A6251D"/>
    <w:rsid w:val="00A6547B"/>
    <w:rsid w:val="00A654D7"/>
    <w:rsid w:val="00A65971"/>
    <w:rsid w:val="00A66750"/>
    <w:rsid w:val="00A70182"/>
    <w:rsid w:val="00A70BA7"/>
    <w:rsid w:val="00A72A13"/>
    <w:rsid w:val="00A744EC"/>
    <w:rsid w:val="00A7495A"/>
    <w:rsid w:val="00A752C7"/>
    <w:rsid w:val="00A77968"/>
    <w:rsid w:val="00A833AB"/>
    <w:rsid w:val="00A83649"/>
    <w:rsid w:val="00A839F4"/>
    <w:rsid w:val="00A85837"/>
    <w:rsid w:val="00A926CE"/>
    <w:rsid w:val="00A92AF7"/>
    <w:rsid w:val="00A9371D"/>
    <w:rsid w:val="00A97894"/>
    <w:rsid w:val="00A97CAD"/>
    <w:rsid w:val="00A97FDD"/>
    <w:rsid w:val="00AA0FB7"/>
    <w:rsid w:val="00AA1AA1"/>
    <w:rsid w:val="00AA1C68"/>
    <w:rsid w:val="00AA4D3F"/>
    <w:rsid w:val="00AA5D20"/>
    <w:rsid w:val="00AA690A"/>
    <w:rsid w:val="00AA75DD"/>
    <w:rsid w:val="00AB37B1"/>
    <w:rsid w:val="00AB4FFD"/>
    <w:rsid w:val="00AC2164"/>
    <w:rsid w:val="00AC2B0C"/>
    <w:rsid w:val="00AC4815"/>
    <w:rsid w:val="00AC4CBD"/>
    <w:rsid w:val="00AC4EE0"/>
    <w:rsid w:val="00AC5CBF"/>
    <w:rsid w:val="00AC6DD0"/>
    <w:rsid w:val="00AD0C4B"/>
    <w:rsid w:val="00AD3A74"/>
    <w:rsid w:val="00AD56DB"/>
    <w:rsid w:val="00AD5C4D"/>
    <w:rsid w:val="00AD7A50"/>
    <w:rsid w:val="00AE23D3"/>
    <w:rsid w:val="00AE45E6"/>
    <w:rsid w:val="00AE7B84"/>
    <w:rsid w:val="00AF00AF"/>
    <w:rsid w:val="00AF2082"/>
    <w:rsid w:val="00AF217C"/>
    <w:rsid w:val="00AF5E1D"/>
    <w:rsid w:val="00AF7171"/>
    <w:rsid w:val="00AF71D3"/>
    <w:rsid w:val="00B03114"/>
    <w:rsid w:val="00B03E66"/>
    <w:rsid w:val="00B07062"/>
    <w:rsid w:val="00B10F99"/>
    <w:rsid w:val="00B11E2E"/>
    <w:rsid w:val="00B1396D"/>
    <w:rsid w:val="00B179EC"/>
    <w:rsid w:val="00B17D06"/>
    <w:rsid w:val="00B212CE"/>
    <w:rsid w:val="00B21E04"/>
    <w:rsid w:val="00B229DE"/>
    <w:rsid w:val="00B24C81"/>
    <w:rsid w:val="00B24EC6"/>
    <w:rsid w:val="00B258AA"/>
    <w:rsid w:val="00B26183"/>
    <w:rsid w:val="00B262CD"/>
    <w:rsid w:val="00B33ABA"/>
    <w:rsid w:val="00B36BB2"/>
    <w:rsid w:val="00B401FB"/>
    <w:rsid w:val="00B430BE"/>
    <w:rsid w:val="00B44FE7"/>
    <w:rsid w:val="00B51E12"/>
    <w:rsid w:val="00B5275F"/>
    <w:rsid w:val="00B5293B"/>
    <w:rsid w:val="00B55631"/>
    <w:rsid w:val="00B557F8"/>
    <w:rsid w:val="00B57DCE"/>
    <w:rsid w:val="00B62473"/>
    <w:rsid w:val="00B63D83"/>
    <w:rsid w:val="00B6483D"/>
    <w:rsid w:val="00B65E8C"/>
    <w:rsid w:val="00B7361A"/>
    <w:rsid w:val="00B74F06"/>
    <w:rsid w:val="00B760AE"/>
    <w:rsid w:val="00B761E4"/>
    <w:rsid w:val="00B76887"/>
    <w:rsid w:val="00B76DC7"/>
    <w:rsid w:val="00B80D7C"/>
    <w:rsid w:val="00B8182A"/>
    <w:rsid w:val="00B82557"/>
    <w:rsid w:val="00B83B9D"/>
    <w:rsid w:val="00B83BF2"/>
    <w:rsid w:val="00B8540B"/>
    <w:rsid w:val="00B864A6"/>
    <w:rsid w:val="00B9099F"/>
    <w:rsid w:val="00B91CF2"/>
    <w:rsid w:val="00B92753"/>
    <w:rsid w:val="00B94319"/>
    <w:rsid w:val="00B97B3B"/>
    <w:rsid w:val="00BA1DE4"/>
    <w:rsid w:val="00BA2203"/>
    <w:rsid w:val="00BA2D04"/>
    <w:rsid w:val="00BA3E16"/>
    <w:rsid w:val="00BA4F3D"/>
    <w:rsid w:val="00BA5EC8"/>
    <w:rsid w:val="00BA7D30"/>
    <w:rsid w:val="00BB0B2C"/>
    <w:rsid w:val="00BB226F"/>
    <w:rsid w:val="00BB2EB5"/>
    <w:rsid w:val="00BB3D88"/>
    <w:rsid w:val="00BB6186"/>
    <w:rsid w:val="00BC2190"/>
    <w:rsid w:val="00BC265C"/>
    <w:rsid w:val="00BC3C07"/>
    <w:rsid w:val="00BD0A7B"/>
    <w:rsid w:val="00BD16BE"/>
    <w:rsid w:val="00BD34BB"/>
    <w:rsid w:val="00BD39F4"/>
    <w:rsid w:val="00BD4C82"/>
    <w:rsid w:val="00BE1C07"/>
    <w:rsid w:val="00BE325A"/>
    <w:rsid w:val="00BE515D"/>
    <w:rsid w:val="00BE6F56"/>
    <w:rsid w:val="00BE7F1F"/>
    <w:rsid w:val="00BF3E26"/>
    <w:rsid w:val="00BF3F76"/>
    <w:rsid w:val="00BF5E4B"/>
    <w:rsid w:val="00C00289"/>
    <w:rsid w:val="00C01693"/>
    <w:rsid w:val="00C02000"/>
    <w:rsid w:val="00C035EB"/>
    <w:rsid w:val="00C0395D"/>
    <w:rsid w:val="00C03A42"/>
    <w:rsid w:val="00C0423C"/>
    <w:rsid w:val="00C05786"/>
    <w:rsid w:val="00C06237"/>
    <w:rsid w:val="00C10AAC"/>
    <w:rsid w:val="00C12F15"/>
    <w:rsid w:val="00C142B1"/>
    <w:rsid w:val="00C1617D"/>
    <w:rsid w:val="00C16960"/>
    <w:rsid w:val="00C17E72"/>
    <w:rsid w:val="00C20CA8"/>
    <w:rsid w:val="00C20E26"/>
    <w:rsid w:val="00C22DBE"/>
    <w:rsid w:val="00C24542"/>
    <w:rsid w:val="00C248C2"/>
    <w:rsid w:val="00C2726C"/>
    <w:rsid w:val="00C276A2"/>
    <w:rsid w:val="00C32B9A"/>
    <w:rsid w:val="00C32E28"/>
    <w:rsid w:val="00C3332E"/>
    <w:rsid w:val="00C334D1"/>
    <w:rsid w:val="00C36BE7"/>
    <w:rsid w:val="00C37791"/>
    <w:rsid w:val="00C37A7B"/>
    <w:rsid w:val="00C43064"/>
    <w:rsid w:val="00C46A08"/>
    <w:rsid w:val="00C47D9E"/>
    <w:rsid w:val="00C51797"/>
    <w:rsid w:val="00C52DFE"/>
    <w:rsid w:val="00C541A9"/>
    <w:rsid w:val="00C54674"/>
    <w:rsid w:val="00C54A4A"/>
    <w:rsid w:val="00C55945"/>
    <w:rsid w:val="00C56A9B"/>
    <w:rsid w:val="00C572C4"/>
    <w:rsid w:val="00C65605"/>
    <w:rsid w:val="00C6646F"/>
    <w:rsid w:val="00C6685D"/>
    <w:rsid w:val="00C70370"/>
    <w:rsid w:val="00C70B40"/>
    <w:rsid w:val="00C72CA5"/>
    <w:rsid w:val="00C72D32"/>
    <w:rsid w:val="00C74619"/>
    <w:rsid w:val="00C769E0"/>
    <w:rsid w:val="00C81635"/>
    <w:rsid w:val="00C86CA5"/>
    <w:rsid w:val="00C945E3"/>
    <w:rsid w:val="00C97EEB"/>
    <w:rsid w:val="00CA1EFC"/>
    <w:rsid w:val="00CA5E43"/>
    <w:rsid w:val="00CA637D"/>
    <w:rsid w:val="00CA669B"/>
    <w:rsid w:val="00CA6D9C"/>
    <w:rsid w:val="00CA76CA"/>
    <w:rsid w:val="00CB47E0"/>
    <w:rsid w:val="00CB6457"/>
    <w:rsid w:val="00CB6D39"/>
    <w:rsid w:val="00CC0170"/>
    <w:rsid w:val="00CC59C1"/>
    <w:rsid w:val="00CC74DC"/>
    <w:rsid w:val="00CD0570"/>
    <w:rsid w:val="00CD3A6C"/>
    <w:rsid w:val="00CE3386"/>
    <w:rsid w:val="00CE6524"/>
    <w:rsid w:val="00CF0493"/>
    <w:rsid w:val="00CF11FD"/>
    <w:rsid w:val="00CF1C5E"/>
    <w:rsid w:val="00CF7230"/>
    <w:rsid w:val="00D02D35"/>
    <w:rsid w:val="00D03B46"/>
    <w:rsid w:val="00D0423B"/>
    <w:rsid w:val="00D05FE1"/>
    <w:rsid w:val="00D13B81"/>
    <w:rsid w:val="00D16557"/>
    <w:rsid w:val="00D17579"/>
    <w:rsid w:val="00D200BE"/>
    <w:rsid w:val="00D204CE"/>
    <w:rsid w:val="00D21303"/>
    <w:rsid w:val="00D23393"/>
    <w:rsid w:val="00D27BCA"/>
    <w:rsid w:val="00D33A0E"/>
    <w:rsid w:val="00D34898"/>
    <w:rsid w:val="00D373F0"/>
    <w:rsid w:val="00D37BAF"/>
    <w:rsid w:val="00D42439"/>
    <w:rsid w:val="00D44B0C"/>
    <w:rsid w:val="00D4672B"/>
    <w:rsid w:val="00D47B0A"/>
    <w:rsid w:val="00D51763"/>
    <w:rsid w:val="00D534DF"/>
    <w:rsid w:val="00D57142"/>
    <w:rsid w:val="00D613CB"/>
    <w:rsid w:val="00D61EFA"/>
    <w:rsid w:val="00D62647"/>
    <w:rsid w:val="00D62651"/>
    <w:rsid w:val="00D62D67"/>
    <w:rsid w:val="00D65EB0"/>
    <w:rsid w:val="00D673CD"/>
    <w:rsid w:val="00D718F8"/>
    <w:rsid w:val="00D71C09"/>
    <w:rsid w:val="00D76FA2"/>
    <w:rsid w:val="00D774B6"/>
    <w:rsid w:val="00D82158"/>
    <w:rsid w:val="00D8313F"/>
    <w:rsid w:val="00D86264"/>
    <w:rsid w:val="00D93D19"/>
    <w:rsid w:val="00D95BCE"/>
    <w:rsid w:val="00D9794C"/>
    <w:rsid w:val="00DA04F8"/>
    <w:rsid w:val="00DA07E0"/>
    <w:rsid w:val="00DA12F2"/>
    <w:rsid w:val="00DA3F44"/>
    <w:rsid w:val="00DA457C"/>
    <w:rsid w:val="00DA6502"/>
    <w:rsid w:val="00DB7F92"/>
    <w:rsid w:val="00DC5A57"/>
    <w:rsid w:val="00DD0981"/>
    <w:rsid w:val="00DD0F92"/>
    <w:rsid w:val="00DD5CA9"/>
    <w:rsid w:val="00DD69A0"/>
    <w:rsid w:val="00DD6F21"/>
    <w:rsid w:val="00DD7B6A"/>
    <w:rsid w:val="00DE4790"/>
    <w:rsid w:val="00DE4F3C"/>
    <w:rsid w:val="00DE59DF"/>
    <w:rsid w:val="00DF05CB"/>
    <w:rsid w:val="00DF220C"/>
    <w:rsid w:val="00DF240E"/>
    <w:rsid w:val="00DF41F7"/>
    <w:rsid w:val="00DF4CE2"/>
    <w:rsid w:val="00DF4D29"/>
    <w:rsid w:val="00DF6119"/>
    <w:rsid w:val="00E00EAB"/>
    <w:rsid w:val="00E0299E"/>
    <w:rsid w:val="00E04672"/>
    <w:rsid w:val="00E058B1"/>
    <w:rsid w:val="00E100D9"/>
    <w:rsid w:val="00E10692"/>
    <w:rsid w:val="00E111B6"/>
    <w:rsid w:val="00E14628"/>
    <w:rsid w:val="00E149B3"/>
    <w:rsid w:val="00E15028"/>
    <w:rsid w:val="00E15E67"/>
    <w:rsid w:val="00E2010C"/>
    <w:rsid w:val="00E21B5E"/>
    <w:rsid w:val="00E2269A"/>
    <w:rsid w:val="00E255C8"/>
    <w:rsid w:val="00E27D3B"/>
    <w:rsid w:val="00E30E3E"/>
    <w:rsid w:val="00E3143C"/>
    <w:rsid w:val="00E319A8"/>
    <w:rsid w:val="00E31AA7"/>
    <w:rsid w:val="00E324E3"/>
    <w:rsid w:val="00E32727"/>
    <w:rsid w:val="00E35F1F"/>
    <w:rsid w:val="00E37D46"/>
    <w:rsid w:val="00E40368"/>
    <w:rsid w:val="00E4268B"/>
    <w:rsid w:val="00E42DEF"/>
    <w:rsid w:val="00E438FA"/>
    <w:rsid w:val="00E44E11"/>
    <w:rsid w:val="00E508CB"/>
    <w:rsid w:val="00E52376"/>
    <w:rsid w:val="00E535D9"/>
    <w:rsid w:val="00E547EA"/>
    <w:rsid w:val="00E55115"/>
    <w:rsid w:val="00E562E9"/>
    <w:rsid w:val="00E566A8"/>
    <w:rsid w:val="00E56795"/>
    <w:rsid w:val="00E60742"/>
    <w:rsid w:val="00E62630"/>
    <w:rsid w:val="00E71D96"/>
    <w:rsid w:val="00E745B9"/>
    <w:rsid w:val="00E80BDE"/>
    <w:rsid w:val="00E80CF1"/>
    <w:rsid w:val="00E83353"/>
    <w:rsid w:val="00E85A59"/>
    <w:rsid w:val="00E95500"/>
    <w:rsid w:val="00E97DBD"/>
    <w:rsid w:val="00EA0EA6"/>
    <w:rsid w:val="00EA16AE"/>
    <w:rsid w:val="00EA27E3"/>
    <w:rsid w:val="00EA2D36"/>
    <w:rsid w:val="00EA3144"/>
    <w:rsid w:val="00EA42EC"/>
    <w:rsid w:val="00EA4545"/>
    <w:rsid w:val="00EA458B"/>
    <w:rsid w:val="00EA542C"/>
    <w:rsid w:val="00EA5FAE"/>
    <w:rsid w:val="00EA6661"/>
    <w:rsid w:val="00EA7A00"/>
    <w:rsid w:val="00EB0D83"/>
    <w:rsid w:val="00EB1F9C"/>
    <w:rsid w:val="00EB230A"/>
    <w:rsid w:val="00EC14DD"/>
    <w:rsid w:val="00EC221A"/>
    <w:rsid w:val="00EC2A11"/>
    <w:rsid w:val="00EC36EF"/>
    <w:rsid w:val="00EC3FCA"/>
    <w:rsid w:val="00EC4E41"/>
    <w:rsid w:val="00ED18CB"/>
    <w:rsid w:val="00ED1B75"/>
    <w:rsid w:val="00ED1DEE"/>
    <w:rsid w:val="00EE108B"/>
    <w:rsid w:val="00EE23CA"/>
    <w:rsid w:val="00EE272E"/>
    <w:rsid w:val="00EE30F0"/>
    <w:rsid w:val="00EE40F7"/>
    <w:rsid w:val="00EE543C"/>
    <w:rsid w:val="00EF06FE"/>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B1A"/>
    <w:rsid w:val="00F343E9"/>
    <w:rsid w:val="00F344D5"/>
    <w:rsid w:val="00F3457F"/>
    <w:rsid w:val="00F413A2"/>
    <w:rsid w:val="00F41E22"/>
    <w:rsid w:val="00F437B7"/>
    <w:rsid w:val="00F43939"/>
    <w:rsid w:val="00F451AC"/>
    <w:rsid w:val="00F50500"/>
    <w:rsid w:val="00F50DE8"/>
    <w:rsid w:val="00F5220F"/>
    <w:rsid w:val="00F525B8"/>
    <w:rsid w:val="00F53DF6"/>
    <w:rsid w:val="00F57D5F"/>
    <w:rsid w:val="00F64422"/>
    <w:rsid w:val="00F73758"/>
    <w:rsid w:val="00F74A4C"/>
    <w:rsid w:val="00F766D0"/>
    <w:rsid w:val="00F76822"/>
    <w:rsid w:val="00F77DD0"/>
    <w:rsid w:val="00F80927"/>
    <w:rsid w:val="00F810AF"/>
    <w:rsid w:val="00F82FBA"/>
    <w:rsid w:val="00F832D1"/>
    <w:rsid w:val="00F83E8B"/>
    <w:rsid w:val="00F84B99"/>
    <w:rsid w:val="00F8609F"/>
    <w:rsid w:val="00F86B59"/>
    <w:rsid w:val="00F87E5B"/>
    <w:rsid w:val="00F95E8D"/>
    <w:rsid w:val="00F96930"/>
    <w:rsid w:val="00FA0402"/>
    <w:rsid w:val="00FA240A"/>
    <w:rsid w:val="00FA2753"/>
    <w:rsid w:val="00FA29BA"/>
    <w:rsid w:val="00FA47DA"/>
    <w:rsid w:val="00FA4824"/>
    <w:rsid w:val="00FA4922"/>
    <w:rsid w:val="00FA4C6D"/>
    <w:rsid w:val="00FB0C19"/>
    <w:rsid w:val="00FB1D70"/>
    <w:rsid w:val="00FB2024"/>
    <w:rsid w:val="00FB48CA"/>
    <w:rsid w:val="00FC3737"/>
    <w:rsid w:val="00FC413F"/>
    <w:rsid w:val="00FC66AC"/>
    <w:rsid w:val="00FD082E"/>
    <w:rsid w:val="00FD0FB5"/>
    <w:rsid w:val="00FD1869"/>
    <w:rsid w:val="00FD3755"/>
    <w:rsid w:val="00FD52EC"/>
    <w:rsid w:val="00FD53F7"/>
    <w:rsid w:val="00FD777A"/>
    <w:rsid w:val="00FE090E"/>
    <w:rsid w:val="00FE17EF"/>
    <w:rsid w:val="00FE1ACA"/>
    <w:rsid w:val="00FE1BB9"/>
    <w:rsid w:val="00FE1BFC"/>
    <w:rsid w:val="00FE3B2D"/>
    <w:rsid w:val="00FE5384"/>
    <w:rsid w:val="00FF4F90"/>
    <w:rsid w:val="00FF5EDB"/>
    <w:rsid w:val="00FF68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B753EDA-826B-4FD1-9660-1DEE53FB5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758984077">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0971438">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197625535">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5557072">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522552938">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48274447">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23257399">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image" Target="../media/image2.jpeg"/></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Excel6.xlsx"/><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7700691797</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4523435188</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13024374</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12211102611</c:v>
                </c:pt>
              </c:numCache>
            </c:numRef>
          </c:val>
        </c:ser>
        <c:dLbls>
          <c:showLegendKey val="0"/>
          <c:showVal val="0"/>
          <c:showCatName val="0"/>
          <c:showSerName val="0"/>
          <c:showPercent val="0"/>
          <c:showBubbleSize val="0"/>
        </c:dLbls>
        <c:gapWidth val="150"/>
        <c:shape val="pyramid"/>
        <c:axId val="-605992032"/>
        <c:axId val="-605996384"/>
        <c:axId val="-606022000"/>
      </c:bar3DChart>
      <c:catAx>
        <c:axId val="-605992032"/>
        <c:scaling>
          <c:orientation val="minMax"/>
        </c:scaling>
        <c:delete val="0"/>
        <c:axPos val="b"/>
        <c:numFmt formatCode="General" sourceLinked="0"/>
        <c:majorTickMark val="out"/>
        <c:minorTickMark val="none"/>
        <c:tickLblPos val="nextTo"/>
        <c:crossAx val="-605996384"/>
        <c:crosses val="autoZero"/>
        <c:auto val="1"/>
        <c:lblAlgn val="ctr"/>
        <c:lblOffset val="100"/>
        <c:noMultiLvlLbl val="0"/>
      </c:catAx>
      <c:valAx>
        <c:axId val="-605996384"/>
        <c:scaling>
          <c:orientation val="minMax"/>
        </c:scaling>
        <c:delete val="0"/>
        <c:axPos val="l"/>
        <c:majorGridlines/>
        <c:numFmt formatCode="_(* #,##0_);_(* \(#,##0\);_(* &quot;-&quot;??_);_(@_)" sourceLinked="1"/>
        <c:majorTickMark val="out"/>
        <c:minorTickMark val="none"/>
        <c:tickLblPos val="nextTo"/>
        <c:crossAx val="-605992032"/>
        <c:crosses val="autoZero"/>
        <c:crossBetween val="between"/>
      </c:valAx>
      <c:serAx>
        <c:axId val="-606022000"/>
        <c:scaling>
          <c:orientation val="minMax"/>
        </c:scaling>
        <c:delete val="0"/>
        <c:axPos val="b"/>
        <c:majorTickMark val="out"/>
        <c:minorTickMark val="none"/>
        <c:tickLblPos val="nextTo"/>
        <c:crossAx val="-605996384"/>
        <c:crosses val="autoZero"/>
      </c:serAx>
    </c:plotArea>
    <c:legend>
      <c:legendPos val="r"/>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spPr>
              <a:noFill/>
              <a:ln>
                <a:noFill/>
              </a:ln>
              <a:effectLst/>
            </c:spPr>
            <c:showLegendKey val="0"/>
            <c:showVal val="0"/>
            <c:showCatName val="1"/>
            <c:showSerName val="0"/>
            <c:showPercent val="0"/>
            <c:showBubbleSize val="0"/>
            <c:showLeaderLines val="0"/>
            <c:extLst>
              <c:ext xmlns:c15="http://schemas.microsoft.com/office/drawing/2012/chart" uri="{CE6537A1-D6FC-4f65-9D91-7224C49458BB}">
                <c15:layout/>
              </c:ext>
            </c:extLst>
          </c:dLbls>
          <c:cat>
            <c:strRef>
              <c:f>Hoja1!$A$2:$A$6</c:f>
              <c:strCache>
                <c:ptCount val="5"/>
                <c:pt idx="0">
                  <c:v>Ing. Tributarios     9.69%</c:v>
                </c:pt>
                <c:pt idx="1">
                  <c:v>Ing. No Tributarios   0.99%</c:v>
                </c:pt>
                <c:pt idx="2">
                  <c:v>Fondos Especiales   52.38%</c:v>
                </c:pt>
                <c:pt idx="3">
                  <c:v>Recursos de Capital   0.44%</c:v>
                </c:pt>
                <c:pt idx="4">
                  <c:v>Transferencias     36.50%</c:v>
                </c:pt>
              </c:strCache>
            </c:strRef>
          </c:cat>
          <c:val>
            <c:numRef>
              <c:f>Hoja1!$B$2:$B$6</c:f>
              <c:numCache>
                <c:formatCode>_(* #,##0_);_(* \(#,##0\);_(* "-"??_);_(@_)</c:formatCode>
                <c:ptCount val="5"/>
                <c:pt idx="0">
                  <c:v>746000000</c:v>
                </c:pt>
                <c:pt idx="1">
                  <c:v>76000000</c:v>
                </c:pt>
                <c:pt idx="2">
                  <c:v>4033000000</c:v>
                </c:pt>
                <c:pt idx="3">
                  <c:v>34000000</c:v>
                </c:pt>
                <c:pt idx="4">
                  <c:v>2810000000</c:v>
                </c:pt>
              </c:numCache>
            </c:numRef>
          </c:val>
        </c:ser>
        <c:dLbls>
          <c:showLegendKey val="0"/>
          <c:showVal val="0"/>
          <c:showCatName val="1"/>
          <c:showSerName val="0"/>
          <c:showPercent val="0"/>
          <c:showBubbleSize val="0"/>
          <c:showLeaderLines val="0"/>
        </c:dLbls>
        <c:firstSliceAng val="0"/>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cat>
            <c:strRef>
              <c:f>Hoja1!$A$2:$A$5</c:f>
              <c:strCache>
                <c:ptCount val="4"/>
                <c:pt idx="0">
                  <c:v>Ppto Inicial</c:v>
                </c:pt>
                <c:pt idx="1">
                  <c:v>Ppto Definitivo</c:v>
                </c:pt>
                <c:pt idx="2">
                  <c:v>Total Recaudado</c:v>
                </c:pt>
                <c:pt idx="3">
                  <c:v>Por Recaudar</c:v>
                </c:pt>
              </c:strCache>
            </c:strRef>
          </c:cat>
          <c:val>
            <c:numRef>
              <c:f>Hoja1!$B$2:$B$5</c:f>
              <c:numCache>
                <c:formatCode>General</c:formatCode>
                <c:ptCount val="4"/>
                <c:pt idx="0">
                  <c:v>7700</c:v>
                </c:pt>
                <c:pt idx="1">
                  <c:v>12211</c:v>
                </c:pt>
                <c:pt idx="2">
                  <c:v>8869</c:v>
                </c:pt>
                <c:pt idx="3">
                  <c:v>3342</c:v>
                </c:pt>
              </c:numCache>
            </c:numRef>
          </c:val>
        </c:ser>
        <c:dLbls>
          <c:showLegendKey val="0"/>
          <c:showVal val="0"/>
          <c:showCatName val="0"/>
          <c:showSerName val="0"/>
          <c:showPercent val="0"/>
          <c:showBubbleSize val="0"/>
        </c:dLbls>
        <c:gapWidth val="75"/>
        <c:axId val="-605909648"/>
        <c:axId val="-605916720"/>
      </c:barChart>
      <c:catAx>
        <c:axId val="-605909648"/>
        <c:scaling>
          <c:orientation val="minMax"/>
        </c:scaling>
        <c:delete val="0"/>
        <c:axPos val="b"/>
        <c:numFmt formatCode="General" sourceLinked="0"/>
        <c:majorTickMark val="none"/>
        <c:minorTickMark val="none"/>
        <c:tickLblPos val="nextTo"/>
        <c:crossAx val="-605916720"/>
        <c:crosses val="autoZero"/>
        <c:auto val="1"/>
        <c:lblAlgn val="ctr"/>
        <c:lblOffset val="100"/>
        <c:noMultiLvlLbl val="0"/>
      </c:catAx>
      <c:valAx>
        <c:axId val="-605916720"/>
        <c:scaling>
          <c:orientation val="minMax"/>
        </c:scaling>
        <c:delete val="0"/>
        <c:axPos val="l"/>
        <c:majorGridlines/>
        <c:numFmt formatCode="General" sourceLinked="1"/>
        <c:majorTickMark val="none"/>
        <c:minorTickMark val="none"/>
        <c:tickLblPos val="nextTo"/>
        <c:crossAx val="-605909648"/>
        <c:crosses val="autoZero"/>
        <c:crossBetween val="between"/>
      </c:valAx>
      <c:spPr>
        <a:blipFill>
          <a:blip xmlns:r="http://schemas.openxmlformats.org/officeDocument/2006/relationships" r:embed="rId1"/>
          <a:tile tx="0" ty="0" sx="100000" sy="100000" flip="none" algn="tl"/>
        </a:blipFill>
      </c:spPr>
    </c:plotArea>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n-US">
                <a:solidFill>
                  <a:srgbClr val="FF0000"/>
                </a:solidFill>
              </a:rPr>
              <a:t>PRESUPUESTO INICIAL</a:t>
            </a:r>
          </a:p>
        </c:rich>
      </c:tx>
      <c:layout/>
      <c:overlay val="0"/>
    </c:title>
    <c:autoTitleDeleted val="0"/>
    <c:plotArea>
      <c:layout>
        <c:manualLayout>
          <c:layoutTarget val="inner"/>
          <c:xMode val="edge"/>
          <c:yMode val="edge"/>
          <c:x val="0.19779873869932926"/>
          <c:y val="0.28818648965969262"/>
          <c:w val="0.35560640857392828"/>
          <c:h val="0.69308354840485908"/>
        </c:manualLayout>
      </c:layout>
      <c:pieChart>
        <c:varyColors val="1"/>
        <c:ser>
          <c:idx val="0"/>
          <c:order val="0"/>
          <c:tx>
            <c:strRef>
              <c:f>Hoja1!$B$1</c:f>
              <c:strCache>
                <c:ptCount val="1"/>
                <c:pt idx="0">
                  <c:v>PRESUPUESTO INICIAL</c:v>
                </c:pt>
              </c:strCache>
            </c:strRef>
          </c:tx>
          <c:dLbls>
            <c:delete val="1"/>
          </c:dLbls>
          <c:cat>
            <c:strRef>
              <c:f>Hoja1!$A$2:$A$4</c:f>
              <c:strCache>
                <c:ptCount val="3"/>
                <c:pt idx="0">
                  <c:v>Funcionamiento  20.04%</c:v>
                </c:pt>
                <c:pt idx="1">
                  <c:v>Deuda 0.52%</c:v>
                </c:pt>
                <c:pt idx="2">
                  <c:v>Inversión    79.44%</c:v>
                </c:pt>
              </c:strCache>
            </c:strRef>
          </c:cat>
          <c:val>
            <c:numRef>
              <c:f>Hoja1!$B$2:$B$4</c:f>
              <c:numCache>
                <c:formatCode>General</c:formatCode>
                <c:ptCount val="3"/>
                <c:pt idx="0">
                  <c:v>1543</c:v>
                </c:pt>
                <c:pt idx="1">
                  <c:v>40</c:v>
                </c:pt>
                <c:pt idx="2">
                  <c:v>6117</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a:lstStyle/>
          <a:p>
            <a:pPr>
              <a:defRPr>
                <a:solidFill>
                  <a:srgbClr val="FF0000"/>
                </a:solidFill>
              </a:defRPr>
            </a:pPr>
            <a:endParaRPr lang="es-CO"/>
          </a:p>
        </c:txPr>
      </c:legendEntry>
      <c:legendEntry>
        <c:idx val="1"/>
        <c:txPr>
          <a:bodyPr/>
          <a:lstStyle/>
          <a:p>
            <a:pPr>
              <a:defRPr>
                <a:solidFill>
                  <a:srgbClr val="FF0000"/>
                </a:solidFill>
              </a:defRPr>
            </a:pPr>
            <a:endParaRPr lang="es-CO"/>
          </a:p>
        </c:txPr>
      </c:legendEntry>
      <c:legendEntry>
        <c:idx val="2"/>
        <c:txPr>
          <a:bodyPr/>
          <a:lstStyle/>
          <a:p>
            <a:pPr>
              <a:defRPr>
                <a:solidFill>
                  <a:srgbClr val="FF0000"/>
                </a:solidFill>
              </a:defRPr>
            </a:pPr>
            <a:endParaRPr lang="es-CO"/>
          </a:p>
        </c:txPr>
      </c:legendEntry>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Adiciones</c:v>
                </c:pt>
              </c:strCache>
            </c:strRef>
          </c:tx>
          <c:invertIfNegative val="0"/>
          <c:cat>
            <c:strRef>
              <c:f>Hoja1!$A$2:$A$5</c:f>
              <c:strCache>
                <c:ptCount val="4"/>
                <c:pt idx="0">
                  <c:v>Justicia</c:v>
                </c:pt>
                <c:pt idx="1">
                  <c:v>Salud</c:v>
                </c:pt>
                <c:pt idx="2">
                  <c:v>Saneamiento</c:v>
                </c:pt>
                <c:pt idx="3">
                  <c:v>Transporte</c:v>
                </c:pt>
              </c:strCache>
            </c:strRef>
          </c:cat>
          <c:val>
            <c:numRef>
              <c:f>Hoja1!$B$2:$B$6</c:f>
              <c:numCache>
                <c:formatCode>General</c:formatCode>
                <c:ptCount val="5"/>
                <c:pt idx="0">
                  <c:v>1066</c:v>
                </c:pt>
                <c:pt idx="1">
                  <c:v>322</c:v>
                </c:pt>
                <c:pt idx="2">
                  <c:v>1014</c:v>
                </c:pt>
                <c:pt idx="3">
                  <c:v>1144</c:v>
                </c:pt>
              </c:numCache>
            </c:numRef>
          </c:val>
        </c:ser>
        <c:dLbls>
          <c:showLegendKey val="0"/>
          <c:showVal val="0"/>
          <c:showCatName val="0"/>
          <c:showSerName val="0"/>
          <c:showPercent val="0"/>
          <c:showBubbleSize val="0"/>
        </c:dLbls>
        <c:gapWidth val="150"/>
        <c:shape val="cylinder"/>
        <c:axId val="-133873104"/>
        <c:axId val="-133882896"/>
        <c:axId val="0"/>
      </c:bar3DChart>
      <c:catAx>
        <c:axId val="-133873104"/>
        <c:scaling>
          <c:orientation val="minMax"/>
        </c:scaling>
        <c:delete val="0"/>
        <c:axPos val="b"/>
        <c:numFmt formatCode="General" sourceLinked="1"/>
        <c:majorTickMark val="none"/>
        <c:minorTickMark val="none"/>
        <c:tickLblPos val="nextTo"/>
        <c:crossAx val="-133882896"/>
        <c:crosses val="autoZero"/>
        <c:auto val="1"/>
        <c:lblAlgn val="ctr"/>
        <c:lblOffset val="100"/>
        <c:noMultiLvlLbl val="0"/>
      </c:catAx>
      <c:valAx>
        <c:axId val="-133882896"/>
        <c:scaling>
          <c:orientation val="minMax"/>
        </c:scaling>
        <c:delete val="0"/>
        <c:axPos val="l"/>
        <c:majorGridlines/>
        <c:numFmt formatCode="General" sourceLinked="1"/>
        <c:majorTickMark val="out"/>
        <c:minorTickMark val="none"/>
        <c:tickLblPos val="nextTo"/>
        <c:crossAx val="-133873104"/>
        <c:crosses val="autoZero"/>
        <c:crossBetween val="between"/>
      </c:valAx>
    </c:plotArea>
    <c:legend>
      <c:legendPos val="r"/>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Hoja1!$B$1</c:f>
              <c:strCache>
                <c:ptCount val="1"/>
                <c:pt idx="0">
                  <c:v>Ppto Definitivo</c:v>
                </c:pt>
              </c:strCache>
            </c:strRef>
          </c:tx>
          <c:invertIfNegative val="0"/>
          <c:cat>
            <c:strRef>
              <c:f>Hoja1!$A$2:$A$4</c:f>
              <c:strCache>
                <c:ptCount val="3"/>
                <c:pt idx="0">
                  <c:v>Funcionamiento</c:v>
                </c:pt>
                <c:pt idx="1">
                  <c:v>Deuda</c:v>
                </c:pt>
                <c:pt idx="2">
                  <c:v>Inversion</c:v>
                </c:pt>
              </c:strCache>
            </c:strRef>
          </c:cat>
          <c:val>
            <c:numRef>
              <c:f>Hoja1!$B$2:$B$4</c:f>
              <c:numCache>
                <c:formatCode>General</c:formatCode>
                <c:ptCount val="3"/>
                <c:pt idx="0">
                  <c:v>1547</c:v>
                </c:pt>
                <c:pt idx="1">
                  <c:v>11</c:v>
                </c:pt>
                <c:pt idx="2">
                  <c:v>10947</c:v>
                </c:pt>
              </c:numCache>
            </c:numRef>
          </c:val>
        </c:ser>
        <c:ser>
          <c:idx val="1"/>
          <c:order val="1"/>
          <c:tx>
            <c:strRef>
              <c:f>Hoja1!$C$1</c:f>
              <c:strCache>
                <c:ptCount val="1"/>
                <c:pt idx="0">
                  <c:v>Total Comprometido</c:v>
                </c:pt>
              </c:strCache>
            </c:strRef>
          </c:tx>
          <c:invertIfNegative val="0"/>
          <c:cat>
            <c:strRef>
              <c:f>Hoja1!$A$2:$A$4</c:f>
              <c:strCache>
                <c:ptCount val="3"/>
                <c:pt idx="0">
                  <c:v>Funcionamiento</c:v>
                </c:pt>
                <c:pt idx="1">
                  <c:v>Deuda</c:v>
                </c:pt>
                <c:pt idx="2">
                  <c:v>Inversion</c:v>
                </c:pt>
              </c:strCache>
            </c:strRef>
          </c:cat>
          <c:val>
            <c:numRef>
              <c:f>Hoja1!$C$2:$C$4</c:f>
              <c:numCache>
                <c:formatCode>General</c:formatCode>
                <c:ptCount val="3"/>
                <c:pt idx="0">
                  <c:v>1476</c:v>
                </c:pt>
                <c:pt idx="1">
                  <c:v>11</c:v>
                </c:pt>
                <c:pt idx="2">
                  <c:v>9120</c:v>
                </c:pt>
              </c:numCache>
            </c:numRef>
          </c:val>
        </c:ser>
        <c:dLbls>
          <c:showLegendKey val="0"/>
          <c:showVal val="0"/>
          <c:showCatName val="0"/>
          <c:showSerName val="0"/>
          <c:showPercent val="0"/>
          <c:showBubbleSize val="0"/>
        </c:dLbls>
        <c:gapWidth val="150"/>
        <c:axId val="-133883984"/>
        <c:axId val="-133883440"/>
      </c:barChart>
      <c:catAx>
        <c:axId val="-133883984"/>
        <c:scaling>
          <c:orientation val="minMax"/>
        </c:scaling>
        <c:delete val="0"/>
        <c:axPos val="b"/>
        <c:numFmt formatCode="General" sourceLinked="0"/>
        <c:majorTickMark val="out"/>
        <c:minorTickMark val="none"/>
        <c:tickLblPos val="nextTo"/>
        <c:crossAx val="-133883440"/>
        <c:crosses val="autoZero"/>
        <c:auto val="1"/>
        <c:lblAlgn val="ctr"/>
        <c:lblOffset val="100"/>
        <c:noMultiLvlLbl val="0"/>
      </c:catAx>
      <c:valAx>
        <c:axId val="-133883440"/>
        <c:scaling>
          <c:orientation val="minMax"/>
        </c:scaling>
        <c:delete val="0"/>
        <c:axPos val="l"/>
        <c:majorGridlines/>
        <c:numFmt formatCode="General" sourceLinked="1"/>
        <c:majorTickMark val="out"/>
        <c:minorTickMark val="none"/>
        <c:tickLblPos val="nextTo"/>
        <c:crossAx val="-133883984"/>
        <c:crosses val="autoZero"/>
        <c:crossBetween val="between"/>
      </c:valAx>
      <c:spPr>
        <a:blipFill>
          <a:blip xmlns:r="http://schemas.openxmlformats.org/officeDocument/2006/relationships" r:embed="rId1"/>
          <a:tile tx="0" ty="0" sx="100000" sy="100000" flip="none" algn="tl"/>
        </a:blipFill>
      </c:spPr>
    </c:plotArea>
    <c:legend>
      <c:legendPos val="r"/>
      <c:layout/>
      <c:overlay val="0"/>
    </c:legend>
    <c:plotVisOnly val="1"/>
    <c:dispBlanksAs val="gap"/>
    <c:showDLblsOverMax val="0"/>
  </c:chart>
  <c:spPr>
    <a:pattFill prst="smConfetti">
      <a:fgClr>
        <a:schemeClr val="accent1"/>
      </a:fgClr>
      <a:bgClr>
        <a:schemeClr val="bg1"/>
      </a:bgClr>
    </a:pattFill>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35EF2-1316-4068-A130-1AA3F2E9B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4683</TotalTime>
  <Pages>11</Pages>
  <Words>1706</Words>
  <Characters>9386</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USER</cp:lastModifiedBy>
  <cp:revision>20</cp:revision>
  <cp:lastPrinted>2016-12-25T22:29:00Z</cp:lastPrinted>
  <dcterms:created xsi:type="dcterms:W3CDTF">2016-10-13T14:31:00Z</dcterms:created>
  <dcterms:modified xsi:type="dcterms:W3CDTF">2016-12-25T22:29:00Z</dcterms:modified>
</cp:coreProperties>
</file>