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67758A" w:rsidRDefault="0067758A" w:rsidP="00554F24">
      <w:pPr>
        <w:pStyle w:val="Prrafodelista"/>
        <w:numPr>
          <w:ilvl w:val="0"/>
          <w:numId w:val="50"/>
        </w:numPr>
        <w:spacing w:before="0" w:after="0"/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67758A" w:rsidRDefault="0067758A" w:rsidP="00554F24">
      <w:pPr>
        <w:spacing w:before="0" w:after="0"/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0"/>
        <w:gridCol w:w="1360"/>
        <w:gridCol w:w="1420"/>
        <w:gridCol w:w="1360"/>
        <w:gridCol w:w="1329"/>
      </w:tblGrid>
      <w:tr w:rsidR="00554F24" w:rsidRPr="00554F24" w:rsidTr="00554F24">
        <w:trPr>
          <w:trHeight w:val="30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554F24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DEL LÍBANO</w:t>
            </w:r>
          </w:p>
        </w:tc>
      </w:tr>
      <w:tr w:rsidR="00554F24" w:rsidRPr="00554F24" w:rsidTr="00554F24">
        <w:trPr>
          <w:trHeight w:val="315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554F24">
              <w:rPr>
                <w:rFonts w:ascii="Tahoma" w:eastAsia="Times New Roman" w:hAnsi="Tahoma" w:cs="Tahoma"/>
                <w:color w:val="auto"/>
              </w:rPr>
              <w:t>Balance General Comparativo 2015 - 2014</w:t>
            </w:r>
          </w:p>
        </w:tc>
      </w:tr>
      <w:tr w:rsidR="00554F24" w:rsidRPr="00554F24" w:rsidTr="00554F24">
        <w:trPr>
          <w:trHeight w:val="27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554F24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554F24" w:rsidRPr="00554F24" w:rsidTr="00554F24">
        <w:trPr>
          <w:trHeight w:val="525"/>
        </w:trPr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554F24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554F24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SALDO FINAL DIC - 2015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554F24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554F24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VARIACION ABSOLUTA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554F24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VARIACION RELATIVA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63,849,665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56,618,248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7,231,417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12.77%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6,897,221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9,450,388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-2,553,167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-27.02%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6,897,221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9,450,388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-2,553,167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-27.02%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2,421,450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2,421,450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NO CONTROLADAS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CONTROLADAS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2,420,950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2,420,950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3,374,836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3,595,155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-220,319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-6.13%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61,761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-61,760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3,374,835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3,533,394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-158,559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-4.49%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5,714,546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4,191,748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1,522,798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36.33%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295,860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295,860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1,803,329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1,803,329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188,974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188,974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ENTREGADOS EN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2,803,951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2,221,197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582,754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26.24%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622,432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521,357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19.39%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19,102,167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12,028,709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7,073,458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58.80%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1,259,245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1,259,245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CONSTRUCCIONES EN CURSO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21,674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21,674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16,723,790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10,074,561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6,649,229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1,929,449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1,558,385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371,064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23.81%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118,263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118,263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15,910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98,598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97,459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1.17%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450,575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421,193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29,382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6.98%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1,562,089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1,551,889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0.66%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 DE INVERSIÓN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1,356,768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1,356,768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-3,993,432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-3,985,876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-7,556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0.19%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PROVISIONES PARA PROTECCIÓN DE PROPIEDADES, PLANTA Y EQUIPO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-460,762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-460,762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11,202,768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10,823,212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379,556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3.51%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EN CONSTRUCCIÓN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491,351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276,081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215,270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77.97%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16,195,590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16,031,304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164,286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1.02%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BIENES DE USO PÚBLICO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-5,484,173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-5,484,173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15,136,677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14,107,586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1,029,091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7.29%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14,428,639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13,431,257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997,382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7.43%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31,709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ENTREGADOS A TERCEROS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DERECHOS EN FIDEICOMISO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630,257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630,257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RECIBIDOS EN DACIÓN DE PAGO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17,397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17,397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23,650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23,650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1,969,371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2,398,255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-428,884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-17.88%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811,682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1,320,408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-508,726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-38.53%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613,301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1,189,310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-576,009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-48.43%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18,399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8,682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9,717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111.92%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80,433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32,957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47,476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144.05%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 AL VALOR AGREGADO - IVA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13,547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8,639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4,908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56.81%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RECIBIDOS EN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85,985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6.41%</w:t>
            </w:r>
          </w:p>
        </w:tc>
      </w:tr>
      <w:tr w:rsidR="00554F24" w:rsidRPr="00554F24" w:rsidTr="00554F24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457,246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376,750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80,496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21.37%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457,246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376,750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80,496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21.37%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BONOS Y TÍTULOS EMITIDOS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BONOS PENSIONALES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41,893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41,893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658,450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659,104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-0.10%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658,450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659,104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-0.10%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61,880,294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54,219,993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7,660,301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14.13%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61,880,294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54,219,993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7,660,301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14.13%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39,667,118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35,034,006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4,633,112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13.22%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6,101,536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3,074,347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3,027,189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98.47%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86,656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86,656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PÚBLICO INCORPORADO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19,111,729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19,111,729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54F24" w:rsidRPr="00554F24" w:rsidTr="00554F24">
        <w:trPr>
          <w:trHeight w:val="46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PROVISIONES, AGOTAMIENTO, DEPRECIACIONES Y AMORTIZACIONES (DB)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-3,086,745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-3,086,745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24" w:rsidRPr="00554F24" w:rsidRDefault="00554F24" w:rsidP="00554F2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54F2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</w:tbl>
    <w:p w:rsidR="00BC5D7D" w:rsidRDefault="00BC5D7D" w:rsidP="00554F24">
      <w:pPr>
        <w:spacing w:before="0" w:after="0"/>
      </w:pPr>
    </w:p>
    <w:p w:rsidR="00554F24" w:rsidRDefault="00554F24" w:rsidP="00554F24">
      <w:pPr>
        <w:spacing w:before="0" w:after="0"/>
      </w:pPr>
    </w:p>
    <w:p w:rsidR="000A5F72" w:rsidRDefault="000A5F72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la vigencia fiscal 201</w:t>
      </w:r>
      <w:r w:rsidR="00554F24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, el municipio del </w:t>
      </w:r>
      <w:r w:rsidR="00554F24">
        <w:rPr>
          <w:rFonts w:ascii="Tahoma" w:hAnsi="Tahoma" w:cs="Tahoma"/>
        </w:rPr>
        <w:t>Líbano en su Balance General</w:t>
      </w:r>
      <w:r>
        <w:rPr>
          <w:rFonts w:ascii="Tahoma" w:hAnsi="Tahoma" w:cs="Tahoma"/>
        </w:rPr>
        <w:t xml:space="preserve"> presenta un aumento en sus activos del </w:t>
      </w:r>
      <w:r w:rsidR="00554F24">
        <w:rPr>
          <w:rFonts w:ascii="Tahoma" w:hAnsi="Tahoma" w:cs="Tahoma"/>
        </w:rPr>
        <w:t>12.77</w:t>
      </w:r>
      <w:r>
        <w:rPr>
          <w:rFonts w:ascii="Tahoma" w:hAnsi="Tahoma" w:cs="Tahoma"/>
        </w:rPr>
        <w:t>%, e</w:t>
      </w:r>
      <w:r w:rsidR="00554F24">
        <w:rPr>
          <w:rFonts w:ascii="Tahoma" w:hAnsi="Tahoma" w:cs="Tahoma"/>
        </w:rPr>
        <w:t>n</w:t>
      </w:r>
      <w:r>
        <w:rPr>
          <w:rFonts w:ascii="Tahoma" w:hAnsi="Tahoma" w:cs="Tahoma"/>
        </w:rPr>
        <w:t xml:space="preserve"> sus pasivos </w:t>
      </w:r>
      <w:r w:rsidR="00554F24">
        <w:rPr>
          <w:rFonts w:ascii="Tahoma" w:hAnsi="Tahoma" w:cs="Tahoma"/>
        </w:rPr>
        <w:t xml:space="preserve">una disminución </w:t>
      </w:r>
      <w:r>
        <w:rPr>
          <w:rFonts w:ascii="Tahoma" w:hAnsi="Tahoma" w:cs="Tahoma"/>
        </w:rPr>
        <w:t xml:space="preserve">del </w:t>
      </w:r>
      <w:r w:rsidR="007D4A2F">
        <w:rPr>
          <w:rFonts w:ascii="Tahoma" w:hAnsi="Tahoma" w:cs="Tahoma"/>
        </w:rPr>
        <w:t xml:space="preserve">17.88% y en el </w:t>
      </w:r>
      <w:r>
        <w:rPr>
          <w:rFonts w:ascii="Tahoma" w:hAnsi="Tahoma" w:cs="Tahoma"/>
        </w:rPr>
        <w:t>patrimonio</w:t>
      </w:r>
      <w:r w:rsidR="007D4A2F">
        <w:rPr>
          <w:rFonts w:ascii="Tahoma" w:hAnsi="Tahoma" w:cs="Tahoma"/>
        </w:rPr>
        <w:t xml:space="preserve"> un crecimiento</w:t>
      </w:r>
      <w:r>
        <w:rPr>
          <w:rFonts w:ascii="Tahoma" w:hAnsi="Tahoma" w:cs="Tahoma"/>
        </w:rPr>
        <w:t xml:space="preserve"> del </w:t>
      </w:r>
      <w:r w:rsidR="007D4A2F">
        <w:rPr>
          <w:rFonts w:ascii="Tahoma" w:hAnsi="Tahoma" w:cs="Tahoma"/>
        </w:rPr>
        <w:t>14.13</w:t>
      </w:r>
      <w:r>
        <w:rPr>
          <w:rFonts w:ascii="Tahoma" w:hAnsi="Tahoma" w:cs="Tahoma"/>
        </w:rPr>
        <w:t>%.</w:t>
      </w:r>
    </w:p>
    <w:p w:rsidR="000A5F72" w:rsidRDefault="000A5F72" w:rsidP="00554F24">
      <w:pPr>
        <w:spacing w:before="0" w:after="0"/>
        <w:rPr>
          <w:rFonts w:ascii="Tahoma" w:hAnsi="Tahoma" w:cs="Tahoma"/>
        </w:rPr>
      </w:pPr>
    </w:p>
    <w:p w:rsidR="000A5F72" w:rsidRDefault="000A5F72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los activos la</w:t>
      </w:r>
      <w:r w:rsidR="007D4A2F">
        <w:rPr>
          <w:rFonts w:ascii="Tahoma" w:hAnsi="Tahoma" w:cs="Tahoma"/>
        </w:rPr>
        <w:t>s</w:t>
      </w:r>
      <w:r>
        <w:rPr>
          <w:rFonts w:ascii="Tahoma" w:hAnsi="Tahoma" w:cs="Tahoma"/>
        </w:rPr>
        <w:t xml:space="preserve"> cuenta</w:t>
      </w:r>
      <w:r w:rsidR="007D4A2F">
        <w:rPr>
          <w:rFonts w:ascii="Tahoma" w:hAnsi="Tahoma" w:cs="Tahoma"/>
        </w:rPr>
        <w:t>s que presentan mayor incremento son Deudores con un saldo a diciembre 31 de 2015 de $5.714.546, que comparado con lo revelado en al cierre del periodo 2014, nos muestra un incremento del 36.33%, es decir una variación absoluta de $1.522.798 miles de pesos; la Propiedad Planta y Equipo por su parte también refleja un crecimiento del 58.80%, que en términos absolutos equivale a la suma de $7.073.458.</w:t>
      </w:r>
    </w:p>
    <w:p w:rsidR="007D4A2F" w:rsidRDefault="007D4A2F" w:rsidP="00554F24">
      <w:pPr>
        <w:spacing w:before="0" w:after="0"/>
        <w:jc w:val="both"/>
        <w:rPr>
          <w:rFonts w:ascii="Tahoma" w:hAnsi="Tahoma" w:cs="Tahoma"/>
        </w:rPr>
      </w:pPr>
    </w:p>
    <w:p w:rsidR="000A5F72" w:rsidRDefault="00807A47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 obstante el incremento de los Activos, cuentas como Depósitos en Instituciones Financieras reflejan una disminución del 27.0%, es decir la suma de $2.553.167 miles de pesos, igual situación nos muestra las Rentas Por Cobrar con una disminución del 6.13%.</w:t>
      </w:r>
    </w:p>
    <w:p w:rsidR="00942761" w:rsidRDefault="00942761" w:rsidP="00554F24">
      <w:pPr>
        <w:spacing w:before="0" w:after="0"/>
        <w:jc w:val="both"/>
        <w:rPr>
          <w:rFonts w:ascii="Tahoma" w:hAnsi="Tahoma" w:cs="Tahoma"/>
        </w:rPr>
      </w:pPr>
    </w:p>
    <w:p w:rsidR="00942761" w:rsidRDefault="00942761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otra parte, la</w:t>
      </w:r>
      <w:r w:rsidR="00807A47">
        <w:rPr>
          <w:rFonts w:ascii="Tahoma" w:hAnsi="Tahoma" w:cs="Tahoma"/>
        </w:rPr>
        <w:t>s</w:t>
      </w:r>
      <w:r>
        <w:rPr>
          <w:rFonts w:ascii="Tahoma" w:hAnsi="Tahoma" w:cs="Tahoma"/>
        </w:rPr>
        <w:t xml:space="preserve"> cuenta</w:t>
      </w:r>
      <w:r w:rsidR="00807A47">
        <w:rPr>
          <w:rFonts w:ascii="Tahoma" w:hAnsi="Tahoma" w:cs="Tahoma"/>
        </w:rPr>
        <w:t>s</w:t>
      </w:r>
      <w:r>
        <w:rPr>
          <w:rFonts w:ascii="Tahoma" w:hAnsi="Tahoma" w:cs="Tahoma"/>
        </w:rPr>
        <w:t xml:space="preserve"> de </w:t>
      </w:r>
      <w:r w:rsidR="00807A47">
        <w:rPr>
          <w:rFonts w:ascii="Tahoma" w:hAnsi="Tahoma" w:cs="Tahoma"/>
        </w:rPr>
        <w:t>Bienes de Uso Público y los Otros Activos, también incrementaron su saldo en el 3.51% y el 7.29%, respectivamente.</w:t>
      </w:r>
    </w:p>
    <w:p w:rsidR="00E13FB3" w:rsidRDefault="00E13FB3" w:rsidP="00554F24">
      <w:pPr>
        <w:spacing w:before="0" w:after="0"/>
        <w:jc w:val="both"/>
        <w:rPr>
          <w:rFonts w:ascii="Tahoma" w:hAnsi="Tahoma" w:cs="Tahoma"/>
        </w:rPr>
      </w:pPr>
    </w:p>
    <w:p w:rsidR="00E13FB3" w:rsidRDefault="00E13FB3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otra parte, el grupo del Pasivo con un saldo al cierre del 2015 de $1.969.371, que comparado con lo reflejado al cierre del 2014, registra una disminución del 17.88%, es decir una variación absoluta de $428.884 miles de pesos.</w:t>
      </w:r>
    </w:p>
    <w:p w:rsidR="00E13FB3" w:rsidRDefault="00E13FB3" w:rsidP="00554F24">
      <w:pPr>
        <w:spacing w:before="0" w:after="0"/>
        <w:jc w:val="both"/>
        <w:rPr>
          <w:rFonts w:ascii="Tahoma" w:hAnsi="Tahoma" w:cs="Tahoma"/>
        </w:rPr>
      </w:pPr>
    </w:p>
    <w:p w:rsidR="00704103" w:rsidRDefault="009551E3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 así como las Cuentas por Pagar reflejan una disminución del 38.53%, es decir que de un saldo de $1.320.408 miles de pesos en el 2014, paso a un saldo en el 2015 por la suma de $811.68, tuvo una reducción real de $508.726 miles de pesos</w:t>
      </w:r>
      <w:r w:rsidR="00704103">
        <w:rPr>
          <w:rFonts w:ascii="Tahoma" w:hAnsi="Tahoma" w:cs="Tahoma"/>
        </w:rPr>
        <w:t>.</w:t>
      </w:r>
    </w:p>
    <w:p w:rsidR="00704103" w:rsidRDefault="00704103" w:rsidP="00554F24">
      <w:pPr>
        <w:spacing w:before="0" w:after="0"/>
        <w:jc w:val="both"/>
        <w:rPr>
          <w:rFonts w:ascii="Tahoma" w:hAnsi="Tahoma" w:cs="Tahoma"/>
        </w:rPr>
      </w:pPr>
    </w:p>
    <w:p w:rsidR="00604905" w:rsidRDefault="00704103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Al interior de las Cuentas por Pagar, la subcuenta Adquisición de Bienes y Servicios</w:t>
      </w:r>
      <w:r w:rsidR="00604905">
        <w:rPr>
          <w:rFonts w:ascii="Tahoma" w:hAnsi="Tahoma" w:cs="Tahoma"/>
        </w:rPr>
        <w:t xml:space="preserve"> Nacionales fue la que produjo la mencionada reducción, ya que con un saldo de $1.189.310 miles de pesos en el 2014, paso a $613.301 en el 2015, es decir una variación absoluta de $576.009 miles de pesos, equivalente en términos porcentuales del 48.43%.</w:t>
      </w:r>
    </w:p>
    <w:p w:rsidR="00604905" w:rsidRDefault="00604905" w:rsidP="00554F24">
      <w:pPr>
        <w:spacing w:before="0" w:after="0"/>
        <w:jc w:val="both"/>
        <w:rPr>
          <w:rFonts w:ascii="Tahoma" w:hAnsi="Tahoma" w:cs="Tahoma"/>
        </w:rPr>
      </w:pPr>
    </w:p>
    <w:p w:rsidR="00E13FB3" w:rsidRDefault="00604905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demás cuentas como las Obligaciones Laborales</w:t>
      </w:r>
      <w:r w:rsidR="00F612C4">
        <w:rPr>
          <w:rFonts w:ascii="Tahoma" w:hAnsi="Tahoma" w:cs="Tahoma"/>
        </w:rPr>
        <w:t xml:space="preserve"> nos enseña un incremento del 21.37%, en términos reales no fue tan significativo, igual sucede con los Otros Pasivos que muestran una disminución de tan solo el 0.10%.</w:t>
      </w:r>
      <w:r w:rsidR="00704103">
        <w:rPr>
          <w:rFonts w:ascii="Tahoma" w:hAnsi="Tahoma" w:cs="Tahoma"/>
        </w:rPr>
        <w:t xml:space="preserve"> </w:t>
      </w:r>
      <w:r w:rsidR="009551E3">
        <w:rPr>
          <w:rFonts w:ascii="Tahoma" w:hAnsi="Tahoma" w:cs="Tahoma"/>
        </w:rPr>
        <w:t xml:space="preserve"> </w:t>
      </w:r>
    </w:p>
    <w:p w:rsidR="00B7024B" w:rsidRDefault="00B7024B" w:rsidP="00554F24">
      <w:pPr>
        <w:spacing w:before="0" w:after="0"/>
        <w:jc w:val="both"/>
        <w:rPr>
          <w:rFonts w:ascii="Tahoma" w:hAnsi="Tahoma" w:cs="Tahoma"/>
        </w:rPr>
      </w:pPr>
    </w:p>
    <w:p w:rsidR="00C06948" w:rsidRPr="000A5F72" w:rsidRDefault="00C06948" w:rsidP="00554F2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En cuanto al Patrimonio, </w:t>
      </w:r>
      <w:r w:rsidR="00F612C4">
        <w:rPr>
          <w:rFonts w:ascii="Tahoma" w:hAnsi="Tahoma" w:cs="Tahoma"/>
        </w:rPr>
        <w:t xml:space="preserve">al cierre de la vigencia 2015 creció a una tasa del 14.13%, reflejado en las cuentas Capital Fiscal y Resultados del Ejercicio </w:t>
      </w:r>
      <w:r w:rsidR="00764B7F">
        <w:rPr>
          <w:rFonts w:ascii="Tahoma" w:hAnsi="Tahoma" w:cs="Tahoma"/>
        </w:rPr>
        <w:t>las cuales se incrementaron el 13.22% y el 98.47%, respectivamente.</w:t>
      </w:r>
    </w:p>
    <w:p w:rsidR="00BC5D7D" w:rsidRDefault="00BC5D7D" w:rsidP="00554F24">
      <w:pPr>
        <w:spacing w:before="0" w:after="0"/>
      </w:pPr>
    </w:p>
    <w:p w:rsidR="00BC5D7D" w:rsidRDefault="00BC5D7D" w:rsidP="000A5F72">
      <w:pPr>
        <w:spacing w:before="0" w:after="0"/>
        <w:rPr>
          <w:noProof/>
        </w:rPr>
      </w:pPr>
    </w:p>
    <w:p w:rsidR="00764B7F" w:rsidRDefault="00764B7F" w:rsidP="000A5F72">
      <w:pPr>
        <w:spacing w:before="0" w:after="0"/>
        <w:rPr>
          <w:noProof/>
        </w:rPr>
      </w:pPr>
    </w:p>
    <w:p w:rsidR="00764B7F" w:rsidRDefault="00764B7F" w:rsidP="000A5F72">
      <w:pPr>
        <w:spacing w:before="0" w:after="0"/>
        <w:rPr>
          <w:noProof/>
        </w:rPr>
      </w:pPr>
    </w:p>
    <w:p w:rsidR="00764B7F" w:rsidRDefault="00764B7F" w:rsidP="000A5F72">
      <w:pPr>
        <w:spacing w:before="0" w:after="0"/>
        <w:rPr>
          <w:noProof/>
        </w:rPr>
      </w:pPr>
    </w:p>
    <w:p w:rsidR="00764B7F" w:rsidRDefault="00764B7F" w:rsidP="000A5F72">
      <w:pPr>
        <w:spacing w:before="0" w:after="0"/>
      </w:pPr>
      <w:r>
        <w:rPr>
          <w:noProof/>
        </w:rPr>
        <w:drawing>
          <wp:inline distT="0" distB="0" distL="0" distR="0" wp14:anchorId="69AE0DD0">
            <wp:extent cx="5562600" cy="29241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016" cy="2927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D7D" w:rsidRDefault="00BC5D7D" w:rsidP="000A5F72">
      <w:pPr>
        <w:spacing w:before="0" w:after="0"/>
      </w:pPr>
    </w:p>
    <w:p w:rsidR="00764B7F" w:rsidRDefault="00764B7F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>ESTADO DE ACTIVIDAD FINANCIERA, ECONÓMICA, SOCIAL Y AMBIENTAL COMPARATIVO</w:t>
      </w:r>
    </w:p>
    <w:tbl>
      <w:tblPr>
        <w:tblW w:w="92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5"/>
        <w:gridCol w:w="1440"/>
        <w:gridCol w:w="1350"/>
        <w:gridCol w:w="1350"/>
        <w:gridCol w:w="1350"/>
      </w:tblGrid>
      <w:tr w:rsidR="00764B7F" w:rsidRPr="00764B7F" w:rsidTr="00764B7F">
        <w:trPr>
          <w:trHeight w:val="300"/>
        </w:trPr>
        <w:tc>
          <w:tcPr>
            <w:tcW w:w="92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764B7F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DEL LÍBANO</w:t>
            </w:r>
          </w:p>
        </w:tc>
      </w:tr>
      <w:tr w:rsidR="00764B7F" w:rsidRPr="00764B7F" w:rsidTr="00764B7F">
        <w:trPr>
          <w:trHeight w:val="285"/>
        </w:trPr>
        <w:tc>
          <w:tcPr>
            <w:tcW w:w="92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764B7F">
              <w:rPr>
                <w:rFonts w:ascii="Tahoma" w:eastAsia="Times New Roman" w:hAnsi="Tahoma" w:cs="Tahoma"/>
                <w:color w:val="auto"/>
              </w:rPr>
              <w:t>Estado de Actividad Financiera, Económica  y Social Comparativo 2015 - 2014</w:t>
            </w:r>
          </w:p>
        </w:tc>
      </w:tr>
      <w:tr w:rsidR="00764B7F" w:rsidRPr="00764B7F" w:rsidTr="00764B7F">
        <w:trPr>
          <w:trHeight w:val="270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764B7F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764B7F" w:rsidRPr="00764B7F" w:rsidTr="00764B7F">
        <w:trPr>
          <w:trHeight w:val="525"/>
        </w:trPr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764B7F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NOMBRE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764B7F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SALDO FINAL DIC - 2015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764B7F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SALDO FINAL DIC - 2014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764B7F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VARIACION ABSOLUTA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</w:pPr>
            <w:r w:rsidRPr="00764B7F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VARIACION RELATIVA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25,979,392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29,145,987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-3,166,595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-10.86%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5,009,083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4,087,763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921,320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22.54%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3,846,862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3,367,201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479,661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14.25%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1,162,221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720,562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441,659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61.29%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TRANSFERENCIAS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20,421,462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24,682,300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-4,260,838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-17.26%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12,266,643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11,107,970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1,158,673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10.43%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6,758,455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5,853,000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905,455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15.47%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1,562,914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1,489,356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73,558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4.94%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2,600,091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2,523,434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76,657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3.04%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146,347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139,533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6,814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4.88%</w:t>
            </w:r>
          </w:p>
        </w:tc>
      </w:tr>
      <w:tr w:rsidR="00764B7F" w:rsidRPr="00764B7F" w:rsidTr="00764B7F">
        <w:trPr>
          <w:trHeight w:val="45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1,198,836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1,102,647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96,189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8.72%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2,500,065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1,364,802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1,135,263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83.18%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5,654,754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12,209,528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-6,554,774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-53.69%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548,847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375,924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172,923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46.00%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348,429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320,587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27,842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8.68%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19,929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16,153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3,776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23.38%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180,489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39,184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141,305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360.62%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19,877,856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26,071,640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-6,193,784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-23.76%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4,047,972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3,424,471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623,501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18.21%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1,583,764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1,242,568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341,196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27.46%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1,218,156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1,199,604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18,552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1.55%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200,689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184,980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15,709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8.49%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40,503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34,601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5,902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17.06%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1,002,323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746,494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255,829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34.27%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16,224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-13,687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-84.36%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15,635,044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22,384,136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-6,749,092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-30.15%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2,031,077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1,804,216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226,861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12.57%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8,288,913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16,163,846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-7,874,933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-48.72%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896,052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183,212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712,840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389.08%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11,999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11,999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338,113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140,514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197,599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140.63%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127,352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143,550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-16,198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-11.28%</w:t>
            </w:r>
          </w:p>
        </w:tc>
      </w:tr>
      <w:tr w:rsidR="00764B7F" w:rsidRPr="00764B7F" w:rsidTr="00764B7F">
        <w:trPr>
          <w:trHeight w:val="45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3,281,032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3,360,592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-79,560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-2.37%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23,984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62,579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-38,595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-61.67%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636,522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525,627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110,895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21.10%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194,840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263,033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-68,193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-25.93%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COMISIONES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1.77%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-35.83%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29,348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10,646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18,702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175.67%</w:t>
            </w:r>
          </w:p>
        </w:tc>
      </w:tr>
      <w:tr w:rsidR="00764B7F" w:rsidRPr="00764B7F" w:rsidTr="00764B7F">
        <w:trPr>
          <w:trHeight w:val="25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33,076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26,903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435.82%</w:t>
            </w:r>
          </w:p>
        </w:tc>
      </w:tr>
      <w:tr w:rsidR="00764B7F" w:rsidRPr="00764B7F" w:rsidTr="00764B7F">
        <w:trPr>
          <w:trHeight w:val="27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130,325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243,583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-113,258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4B7F" w:rsidRPr="00764B7F" w:rsidRDefault="00764B7F" w:rsidP="00764B7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64B7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-46.50%</w:t>
            </w:r>
          </w:p>
        </w:tc>
      </w:tr>
    </w:tbl>
    <w:p w:rsidR="00BC5D7D" w:rsidRDefault="00BC5D7D" w:rsidP="0067758A"/>
    <w:p w:rsidR="00BC5D7D" w:rsidRPr="00814D3D" w:rsidRDefault="00630301" w:rsidP="00814D3D">
      <w:pPr>
        <w:spacing w:before="0" w:after="0"/>
        <w:jc w:val="both"/>
        <w:rPr>
          <w:rFonts w:ascii="Tahoma" w:hAnsi="Tahoma" w:cs="Tahoma"/>
        </w:rPr>
      </w:pPr>
      <w:r w:rsidRPr="00814D3D">
        <w:rPr>
          <w:rFonts w:ascii="Tahoma" w:hAnsi="Tahoma" w:cs="Tahoma"/>
        </w:rPr>
        <w:t>Con respecto al Estado de Actividad Financiera, podemos concluir que</w:t>
      </w:r>
      <w:r w:rsidR="00764B7F">
        <w:rPr>
          <w:rFonts w:ascii="Tahoma" w:hAnsi="Tahoma" w:cs="Tahoma"/>
        </w:rPr>
        <w:t xml:space="preserve"> en el Municipio del Líbano,</w:t>
      </w:r>
      <w:r w:rsidRPr="00814D3D">
        <w:rPr>
          <w:rFonts w:ascii="Tahoma" w:hAnsi="Tahoma" w:cs="Tahoma"/>
        </w:rPr>
        <w:t xml:space="preserve"> para la vigencia 201</w:t>
      </w:r>
      <w:r w:rsidR="00764B7F">
        <w:rPr>
          <w:rFonts w:ascii="Tahoma" w:hAnsi="Tahoma" w:cs="Tahoma"/>
        </w:rPr>
        <w:t>5</w:t>
      </w:r>
      <w:r w:rsidRPr="00814D3D">
        <w:rPr>
          <w:rFonts w:ascii="Tahoma" w:hAnsi="Tahoma" w:cs="Tahoma"/>
        </w:rPr>
        <w:t xml:space="preserve"> los ingresos tuvieron un</w:t>
      </w:r>
      <w:r w:rsidR="00764B7F">
        <w:rPr>
          <w:rFonts w:ascii="Tahoma" w:hAnsi="Tahoma" w:cs="Tahoma"/>
        </w:rPr>
        <w:t>a</w:t>
      </w:r>
      <w:r w:rsidRPr="00814D3D">
        <w:rPr>
          <w:rFonts w:ascii="Tahoma" w:hAnsi="Tahoma" w:cs="Tahoma"/>
        </w:rPr>
        <w:t xml:space="preserve"> </w:t>
      </w:r>
      <w:r w:rsidR="00764B7F">
        <w:rPr>
          <w:rFonts w:ascii="Tahoma" w:hAnsi="Tahoma" w:cs="Tahoma"/>
        </w:rPr>
        <w:t>reducción</w:t>
      </w:r>
      <w:r w:rsidRPr="00814D3D">
        <w:rPr>
          <w:rFonts w:ascii="Tahoma" w:hAnsi="Tahoma" w:cs="Tahoma"/>
        </w:rPr>
        <w:t xml:space="preserve"> de</w:t>
      </w:r>
      <w:r w:rsidR="00764B7F">
        <w:rPr>
          <w:rFonts w:ascii="Tahoma" w:hAnsi="Tahoma" w:cs="Tahoma"/>
        </w:rPr>
        <w:t>l 10.86%</w:t>
      </w:r>
      <w:r w:rsidR="00854602">
        <w:rPr>
          <w:rFonts w:ascii="Tahoma" w:hAnsi="Tahoma" w:cs="Tahoma"/>
        </w:rPr>
        <w:t xml:space="preserve"> y los Gastos se redujeron el 23.76%.</w:t>
      </w:r>
    </w:p>
    <w:p w:rsidR="00BD3082" w:rsidRPr="00814D3D" w:rsidRDefault="00BD3082" w:rsidP="00814D3D">
      <w:pPr>
        <w:spacing w:before="0" w:after="0"/>
        <w:jc w:val="both"/>
        <w:rPr>
          <w:rFonts w:ascii="Tahoma" w:hAnsi="Tahoma" w:cs="Tahoma"/>
        </w:rPr>
      </w:pPr>
    </w:p>
    <w:p w:rsidR="00814D3D" w:rsidRDefault="00BC414E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del grupo de ingresos, las cuentas de los Tributarios y No Tributarios nos muestran un aumento del 14.25% y 61.29%, respectivamente. </w:t>
      </w:r>
    </w:p>
    <w:p w:rsidR="00BC414E" w:rsidRDefault="00BC414E" w:rsidP="00814D3D">
      <w:pPr>
        <w:spacing w:before="0" w:after="0"/>
        <w:jc w:val="both"/>
        <w:rPr>
          <w:rFonts w:ascii="Tahoma" w:hAnsi="Tahoma" w:cs="Tahoma"/>
        </w:rPr>
      </w:pPr>
    </w:p>
    <w:p w:rsidR="00BC414E" w:rsidRDefault="00BC414E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otra parte, los Ingresos por Transferencias fueron los que ocasionaron la reducción del total de los ingresos, con una disminución del 17.26%, equivalente a la suma de $4.260.838 miles de pesos.</w:t>
      </w:r>
    </w:p>
    <w:p w:rsidR="00BC414E" w:rsidRDefault="00BC414E" w:rsidP="00814D3D">
      <w:pPr>
        <w:spacing w:before="0" w:after="0"/>
        <w:jc w:val="both"/>
        <w:rPr>
          <w:rFonts w:ascii="Tahoma" w:hAnsi="Tahoma" w:cs="Tahoma"/>
        </w:rPr>
      </w:pPr>
    </w:p>
    <w:p w:rsidR="00BC414E" w:rsidRDefault="003F55C4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 obstante lo anterior, las transferencias por el Sistema General de Participaciones nos muestra un aumento del 10.43%, de allí tenemos que, la Participación para Salud creció un 15.47%, Educación el 4.94%, Propósito General el 3.04%, Programas de Alimentación Escolar el 4.88% y Agua Potable y Saneamiento Básico el 8.72%.</w:t>
      </w:r>
    </w:p>
    <w:p w:rsidR="003F55C4" w:rsidRDefault="003F55C4" w:rsidP="00814D3D">
      <w:pPr>
        <w:spacing w:before="0" w:after="0"/>
        <w:jc w:val="both"/>
        <w:rPr>
          <w:rFonts w:ascii="Tahoma" w:hAnsi="Tahoma" w:cs="Tahoma"/>
        </w:rPr>
      </w:pPr>
    </w:p>
    <w:p w:rsidR="003F55C4" w:rsidRDefault="003F55C4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otra parte, en cuanto al Sistema General de Regalías registra una disminución del 53.69%, ya que de un recaudo en el 2014 por la suma de $12.209.528, en el 2015 paso a un valor de $5.654.754 miles de pesos, reflejando una </w:t>
      </w:r>
      <w:r w:rsidR="00493C86">
        <w:rPr>
          <w:rFonts w:ascii="Tahoma" w:hAnsi="Tahoma" w:cs="Tahoma"/>
        </w:rPr>
        <w:t>reducción por la suma</w:t>
      </w:r>
      <w:r>
        <w:rPr>
          <w:rFonts w:ascii="Tahoma" w:hAnsi="Tahoma" w:cs="Tahoma"/>
        </w:rPr>
        <w:t xml:space="preserve"> </w:t>
      </w:r>
      <w:r w:rsidR="00493C86">
        <w:rPr>
          <w:rFonts w:ascii="Tahoma" w:hAnsi="Tahoma" w:cs="Tahoma"/>
        </w:rPr>
        <w:t>$6.554.774 miles de pesos.</w:t>
      </w:r>
    </w:p>
    <w:p w:rsidR="003F55C4" w:rsidRPr="00814D3D" w:rsidRDefault="003F55C4" w:rsidP="00814D3D">
      <w:pPr>
        <w:spacing w:before="0" w:after="0"/>
        <w:jc w:val="both"/>
        <w:rPr>
          <w:rFonts w:ascii="Tahoma" w:hAnsi="Tahoma" w:cs="Tahoma"/>
        </w:rPr>
      </w:pPr>
    </w:p>
    <w:p w:rsidR="00493C86" w:rsidRDefault="00A32BD8" w:rsidP="00814D3D">
      <w:pPr>
        <w:spacing w:before="0" w:after="0"/>
        <w:jc w:val="both"/>
        <w:rPr>
          <w:rFonts w:ascii="Tahoma" w:hAnsi="Tahoma" w:cs="Tahoma"/>
        </w:rPr>
      </w:pPr>
      <w:r w:rsidRPr="00814D3D">
        <w:rPr>
          <w:rFonts w:ascii="Tahoma" w:hAnsi="Tahoma" w:cs="Tahoma"/>
        </w:rPr>
        <w:t xml:space="preserve">Ahora bien, en cuanto a los Gastos </w:t>
      </w:r>
      <w:r w:rsidR="00493C86">
        <w:rPr>
          <w:rFonts w:ascii="Tahoma" w:hAnsi="Tahoma" w:cs="Tahoma"/>
        </w:rPr>
        <w:t xml:space="preserve">igual que los ingresos también </w:t>
      </w:r>
      <w:r w:rsidRPr="00814D3D">
        <w:rPr>
          <w:rFonts w:ascii="Tahoma" w:hAnsi="Tahoma" w:cs="Tahoma"/>
        </w:rPr>
        <w:t>reflejan un</w:t>
      </w:r>
      <w:r w:rsidR="00493C86">
        <w:rPr>
          <w:rFonts w:ascii="Tahoma" w:hAnsi="Tahoma" w:cs="Tahoma"/>
        </w:rPr>
        <w:t>a disminución del 23.76%; no obstante lo anterior, los Gastos de Administración presentan un incremento del 18.21%, al interior de estos lo de mayor aumento fueron los Gastos Generales con el 34.27%.</w:t>
      </w:r>
    </w:p>
    <w:p w:rsidR="00493C86" w:rsidRDefault="00493C86" w:rsidP="00814D3D">
      <w:pPr>
        <w:spacing w:before="0" w:after="0"/>
        <w:jc w:val="both"/>
        <w:rPr>
          <w:rFonts w:ascii="Tahoma" w:hAnsi="Tahoma" w:cs="Tahoma"/>
        </w:rPr>
      </w:pPr>
    </w:p>
    <w:p w:rsidR="00493C86" w:rsidRDefault="00493C86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otra parte, el Gasto Público Social fue el causante de la reducción total del grupo de Gastos</w:t>
      </w:r>
      <w:r w:rsidR="0020274A">
        <w:rPr>
          <w:rFonts w:ascii="Tahoma" w:hAnsi="Tahoma" w:cs="Tahoma"/>
        </w:rPr>
        <w:t xml:space="preserve"> con el 30.15%, de lo cual evidenciamos en el cuadro de análisis horizontal que el Sector Salud redujo su inversión en el 48.72% es decir la cifra de $7.874.933 miles de pesos, Cultura el 11.28%, Desarrollo Comunitario el 2.37% y Medio Ambiente el 61.67%.</w:t>
      </w:r>
    </w:p>
    <w:p w:rsidR="0020274A" w:rsidRDefault="0020274A" w:rsidP="00814D3D">
      <w:pPr>
        <w:spacing w:before="0" w:after="0"/>
        <w:jc w:val="both"/>
        <w:rPr>
          <w:rFonts w:ascii="Tahoma" w:hAnsi="Tahoma" w:cs="Tahoma"/>
        </w:rPr>
      </w:pPr>
    </w:p>
    <w:p w:rsidR="0020274A" w:rsidRDefault="0020274A" w:rsidP="00814D3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el contario, sectores como</w:t>
      </w:r>
      <w:r w:rsidR="000B3E43">
        <w:rPr>
          <w:rFonts w:ascii="Tahoma" w:hAnsi="Tahoma" w:cs="Tahoma"/>
        </w:rPr>
        <w:t xml:space="preserve"> en</w:t>
      </w:r>
      <w:r>
        <w:rPr>
          <w:rFonts w:ascii="Tahoma" w:hAnsi="Tahoma" w:cs="Tahoma"/>
        </w:rPr>
        <w:t xml:space="preserve"> Educación </w:t>
      </w:r>
      <w:r w:rsidR="000B3E43">
        <w:rPr>
          <w:rFonts w:ascii="Tahoma" w:hAnsi="Tahoma" w:cs="Tahoma"/>
        </w:rPr>
        <w:t>creció su inversión</w:t>
      </w:r>
      <w:r>
        <w:rPr>
          <w:rFonts w:ascii="Tahoma" w:hAnsi="Tahoma" w:cs="Tahoma"/>
        </w:rPr>
        <w:t xml:space="preserve"> el 12.57%</w:t>
      </w:r>
      <w:r w:rsidR="000B3E43">
        <w:rPr>
          <w:rFonts w:ascii="Tahoma" w:hAnsi="Tahoma" w:cs="Tahoma"/>
        </w:rPr>
        <w:t xml:space="preserve">, Agua Potable y </w:t>
      </w:r>
      <w:r w:rsidR="005D00AE">
        <w:rPr>
          <w:rFonts w:ascii="Tahoma" w:hAnsi="Tahoma" w:cs="Tahoma"/>
        </w:rPr>
        <w:t>Saneamiento</w:t>
      </w:r>
      <w:r w:rsidR="000B3E43">
        <w:rPr>
          <w:rFonts w:ascii="Tahoma" w:hAnsi="Tahoma" w:cs="Tahoma"/>
        </w:rPr>
        <w:t xml:space="preserve"> </w:t>
      </w:r>
      <w:r w:rsidR="005D00AE">
        <w:rPr>
          <w:rFonts w:ascii="Tahoma" w:hAnsi="Tahoma" w:cs="Tahoma"/>
        </w:rPr>
        <w:t>Básico</w:t>
      </w:r>
      <w:r w:rsidR="000B3E43">
        <w:rPr>
          <w:rFonts w:ascii="Tahoma" w:hAnsi="Tahoma" w:cs="Tahoma"/>
        </w:rPr>
        <w:t xml:space="preserve"> el 389.08%, Vivienda el 100%, y Recreación y Deporte el 140.63%.</w:t>
      </w:r>
    </w:p>
    <w:p w:rsidR="005D00AE" w:rsidRDefault="005D00AE" w:rsidP="00814D3D">
      <w:pPr>
        <w:spacing w:before="0" w:after="0"/>
        <w:jc w:val="both"/>
        <w:rPr>
          <w:rFonts w:ascii="Tahoma" w:hAnsi="Tahoma" w:cs="Tahoma"/>
        </w:rPr>
      </w:pPr>
    </w:p>
    <w:p w:rsidR="00493C86" w:rsidRDefault="005D00AE" w:rsidP="005D00AE">
      <w:pPr>
        <w:spacing w:before="0" w:after="0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 wp14:anchorId="31963F32">
            <wp:extent cx="4810125" cy="23145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988" cy="2314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D7D" w:rsidRDefault="00814D3D" w:rsidP="005D00AE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APLICACIÓN DE INDICADORES FINANCIEROS</w:t>
      </w:r>
    </w:p>
    <w:p w:rsidR="00814D3D" w:rsidRDefault="00814D3D" w:rsidP="005D00AE">
      <w:pPr>
        <w:spacing w:before="0" w:after="0"/>
        <w:rPr>
          <w:rFonts w:ascii="Tahoma" w:hAnsi="Tahoma" w:cs="Tahoma"/>
        </w:rPr>
      </w:pPr>
    </w:p>
    <w:p w:rsidR="00814D3D" w:rsidRPr="00814D3D" w:rsidRDefault="00814D3D" w:rsidP="005D00AE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5D00AE">
      <w:pPr>
        <w:spacing w:before="0" w:after="0"/>
        <w:rPr>
          <w:rFonts w:ascii="Tahoma" w:hAnsi="Tahoma" w:cs="Tahoma"/>
        </w:rPr>
      </w:pPr>
    </w:p>
    <w:p w:rsidR="00814D3D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A022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7A0220">
        <w:rPr>
          <w:rFonts w:ascii="Tahoma" w:hAnsi="Tahoma" w:cs="Tahoma"/>
        </w:rPr>
        <w:t>6.897.221</w:t>
      </w:r>
    </w:p>
    <w:p w:rsidR="007A0220" w:rsidRDefault="007A0220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                        500</w:t>
      </w:r>
    </w:p>
    <w:p w:rsidR="00160B31" w:rsidRDefault="001666F5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7A0220">
        <w:rPr>
          <w:rFonts w:ascii="Tahoma" w:hAnsi="Tahoma" w:cs="Tahoma"/>
        </w:rPr>
        <w:t>3.374.836</w:t>
      </w:r>
    </w:p>
    <w:p w:rsidR="001666F5" w:rsidRPr="00814D3D" w:rsidRDefault="001666F5" w:rsidP="005D00A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 w:rsidR="007A0220">
        <w:rPr>
          <w:rFonts w:ascii="Tahoma" w:hAnsi="Tahoma" w:cs="Tahoma"/>
        </w:rPr>
        <w:t xml:space="preserve">  5.714.546</w:t>
      </w:r>
    </w:p>
    <w:p w:rsidR="001666F5" w:rsidRDefault="001666F5" w:rsidP="005D00AE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Default="001666F5" w:rsidP="005D00AE">
      <w:pPr>
        <w:spacing w:before="0" w:after="0"/>
      </w:pPr>
      <w:r>
        <w:tab/>
      </w:r>
      <w:r>
        <w:tab/>
      </w:r>
      <w:r>
        <w:tab/>
        <w:t>$</w:t>
      </w:r>
      <w:r w:rsidR="007A0220">
        <w:t>15.987.103</w:t>
      </w:r>
    </w:p>
    <w:p w:rsidR="001666F5" w:rsidRDefault="001666F5" w:rsidP="005D00AE">
      <w:pPr>
        <w:spacing w:before="0" w:after="0"/>
      </w:pPr>
    </w:p>
    <w:p w:rsidR="001666F5" w:rsidRDefault="001666F5" w:rsidP="005D00AE">
      <w:pPr>
        <w:spacing w:before="0" w:after="0"/>
      </w:pPr>
      <w:r>
        <w:t>Pasivo Corriente:</w:t>
      </w:r>
    </w:p>
    <w:p w:rsidR="001666F5" w:rsidRDefault="001666F5" w:rsidP="005D00AE">
      <w:pPr>
        <w:spacing w:before="0" w:after="0"/>
      </w:pPr>
      <w:r>
        <w:t>Cuentas por Pagar</w:t>
      </w:r>
      <w:r>
        <w:tab/>
      </w:r>
      <w:r>
        <w:tab/>
      </w:r>
      <w:r>
        <w:tab/>
      </w:r>
      <w:r>
        <w:tab/>
        <w:t xml:space="preserve"> </w:t>
      </w:r>
      <w:r w:rsidR="007A0220">
        <w:t>$811.682</w:t>
      </w:r>
    </w:p>
    <w:p w:rsidR="001666F5" w:rsidRDefault="001666F5" w:rsidP="005D00AE">
      <w:pPr>
        <w:spacing w:before="0" w:after="0"/>
      </w:pPr>
      <w:r>
        <w:t>Obligaciones Laborales</w:t>
      </w:r>
      <w:r>
        <w:tab/>
      </w:r>
      <w:r>
        <w:tab/>
      </w:r>
      <w:r>
        <w:tab/>
        <w:t xml:space="preserve">  </w:t>
      </w:r>
      <w:r w:rsidR="007A0220">
        <w:t xml:space="preserve"> 457.246</w:t>
      </w:r>
    </w:p>
    <w:p w:rsidR="001666F5" w:rsidRDefault="001666F5" w:rsidP="005D00AE">
      <w:pPr>
        <w:spacing w:before="0"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----------------</w:t>
      </w:r>
    </w:p>
    <w:p w:rsidR="001666F5" w:rsidRDefault="001666F5" w:rsidP="005D00AE">
      <w:pPr>
        <w:spacing w:before="0"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$</w:t>
      </w:r>
      <w:r w:rsidR="007A0220">
        <w:t>1.268.928</w:t>
      </w:r>
    </w:p>
    <w:p w:rsidR="001666F5" w:rsidRDefault="001666F5" w:rsidP="005D00AE">
      <w:pPr>
        <w:spacing w:before="0" w:after="0"/>
      </w:pPr>
    </w:p>
    <w:p w:rsidR="001666F5" w:rsidRDefault="001666F5" w:rsidP="005D00AE">
      <w:pPr>
        <w:spacing w:before="0" w:after="0"/>
      </w:pPr>
      <w:r>
        <w:t>Razón Corriente  $</w:t>
      </w:r>
      <w:r w:rsidR="007A0220">
        <w:t>15.987.103</w:t>
      </w:r>
      <w:r>
        <w:t xml:space="preserve"> /  $</w:t>
      </w:r>
      <w:r w:rsidR="007A0220">
        <w:t>1.268.928</w:t>
      </w:r>
      <w:r>
        <w:t xml:space="preserve"> = </w:t>
      </w:r>
      <w:r w:rsidR="007A0220">
        <w:t>12.59</w:t>
      </w:r>
    </w:p>
    <w:p w:rsidR="00A7456E" w:rsidRDefault="00A7456E" w:rsidP="005D00AE">
      <w:pPr>
        <w:spacing w:before="0" w:after="0"/>
      </w:pPr>
    </w:p>
    <w:p w:rsidR="00A7456E" w:rsidRDefault="00A7456E" w:rsidP="005D00AE">
      <w:pPr>
        <w:spacing w:before="0" w:after="0"/>
        <w:jc w:val="both"/>
      </w:pPr>
      <w:r>
        <w:lastRenderedPageBreak/>
        <w:t xml:space="preserve">El anterior resultado nos muestra que por cada peso que la Administración Municipal del </w:t>
      </w:r>
      <w:r w:rsidR="00F401CA">
        <w:t>Líbano</w:t>
      </w:r>
      <w:r>
        <w:t xml:space="preserve"> debe a corto plazo, cuenta con </w:t>
      </w:r>
      <w:r w:rsidR="00F401CA">
        <w:t>12.59</w:t>
      </w:r>
      <w:r>
        <w:t xml:space="preserve"> pesos en activos corriente para cubrirlos, lo que significa que el mencionado municipio refleja liquidez suficiente para cubrir sus pasivos de corto plazo.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CAPITAL NETO DE TRABAJO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Formula: Activo Corriente – Pasivo Corriente</w:t>
      </w:r>
    </w:p>
    <w:p w:rsidR="00A7456E" w:rsidRDefault="00A7456E" w:rsidP="005D00AE">
      <w:pPr>
        <w:spacing w:before="0" w:after="0"/>
        <w:jc w:val="both"/>
      </w:pPr>
    </w:p>
    <w:p w:rsidR="00A7456E" w:rsidRDefault="00F401CA" w:rsidP="005D00AE">
      <w:pPr>
        <w:spacing w:before="0" w:after="0"/>
        <w:jc w:val="both"/>
      </w:pPr>
      <w:r>
        <w:t xml:space="preserve">$15.987.103 /  $1.268.928 </w:t>
      </w:r>
      <w:r w:rsidR="00A7456E">
        <w:t>= $</w:t>
      </w:r>
      <w:r>
        <w:t>14.718.175</w:t>
      </w:r>
    </w:p>
    <w:p w:rsidR="00A7456E" w:rsidRDefault="00A7456E" w:rsidP="005D00AE">
      <w:pPr>
        <w:spacing w:before="0" w:after="0"/>
        <w:jc w:val="both"/>
      </w:pPr>
    </w:p>
    <w:p w:rsidR="00A7456E" w:rsidRDefault="00A7456E" w:rsidP="005D00AE">
      <w:pPr>
        <w:spacing w:before="0" w:after="0"/>
        <w:jc w:val="both"/>
      </w:pPr>
      <w:r>
        <w:t>El anterior resultado nos indica que el ente territorial cuenta con suficientes recursos propios para operar.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NIVEL DE ENDEUDAMIENTO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Formula: Pasivo Total con Terceros / Activo Total</w:t>
      </w:r>
    </w:p>
    <w:p w:rsidR="003E25A9" w:rsidRDefault="003E25A9" w:rsidP="005D00AE">
      <w:pPr>
        <w:spacing w:before="0" w:after="0"/>
        <w:jc w:val="both"/>
      </w:pPr>
    </w:p>
    <w:p w:rsidR="003E25A9" w:rsidRDefault="00F401CA" w:rsidP="005D00AE">
      <w:pPr>
        <w:spacing w:before="0" w:after="0"/>
        <w:jc w:val="both"/>
      </w:pPr>
      <w:r>
        <w:t>$16.645.653</w:t>
      </w:r>
      <w:r w:rsidR="003E25A9">
        <w:t xml:space="preserve"> / </w:t>
      </w:r>
      <w:r>
        <w:t>$</w:t>
      </w:r>
      <w:r w:rsidR="0079552D">
        <w:t xml:space="preserve">63.849.665 </w:t>
      </w:r>
      <w:r w:rsidR="003E25A9">
        <w:t xml:space="preserve">= </w:t>
      </w:r>
      <w:r w:rsidR="0079552D">
        <w:t>26.07</w:t>
      </w:r>
      <w:r w:rsidR="003E25A9">
        <w:t>%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79552D">
        <w:t>26.07</w:t>
      </w:r>
      <w:r>
        <w:t>% está siendo financiado por los acreedores.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RAZÓN DEL PATRIMONIO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5D00AE">
      <w:pPr>
        <w:spacing w:before="0" w:after="0"/>
        <w:jc w:val="both"/>
      </w:pPr>
    </w:p>
    <w:p w:rsidR="003E25A9" w:rsidRDefault="003E25A9" w:rsidP="005D00AE">
      <w:pPr>
        <w:spacing w:before="0" w:after="0"/>
        <w:jc w:val="both"/>
      </w:pPr>
      <w:r>
        <w:t>Formula: Patrimonio Total / Activo Total</w:t>
      </w:r>
    </w:p>
    <w:p w:rsidR="003E25A9" w:rsidRDefault="003E25A9" w:rsidP="005D00AE">
      <w:pPr>
        <w:spacing w:before="0" w:after="0"/>
        <w:jc w:val="both"/>
      </w:pPr>
    </w:p>
    <w:p w:rsidR="003E25A9" w:rsidRDefault="00764ABD" w:rsidP="005D00AE">
      <w:pPr>
        <w:spacing w:before="0" w:after="0"/>
        <w:jc w:val="both"/>
      </w:pPr>
      <w:r>
        <w:t>$</w:t>
      </w:r>
      <w:r w:rsidR="0079552D">
        <w:t>61.880.294</w:t>
      </w:r>
      <w:r w:rsidR="003E25A9">
        <w:t xml:space="preserve"> / </w:t>
      </w:r>
      <w:r w:rsidR="0079552D">
        <w:t xml:space="preserve">$63.849.665 </w:t>
      </w:r>
      <w:r>
        <w:t xml:space="preserve">= </w:t>
      </w:r>
      <w:r w:rsidR="0079552D">
        <w:t>96.91</w:t>
      </w:r>
      <w:r>
        <w:t>%</w:t>
      </w:r>
    </w:p>
    <w:p w:rsidR="008326D2" w:rsidRDefault="008326D2" w:rsidP="005D00AE">
      <w:pPr>
        <w:spacing w:before="0" w:after="0"/>
        <w:jc w:val="both"/>
      </w:pPr>
    </w:p>
    <w:p w:rsidR="008326D2" w:rsidRDefault="008326D2" w:rsidP="005D00AE">
      <w:pPr>
        <w:spacing w:before="0" w:after="0"/>
        <w:jc w:val="both"/>
      </w:pPr>
      <w:r>
        <w:lastRenderedPageBreak/>
        <w:t xml:space="preserve">El porcentaje establecido anteriormente nos indica que el </w:t>
      </w:r>
      <w:r w:rsidR="0079552D">
        <w:t>96.91</w:t>
      </w:r>
      <w:r>
        <w:t>% de los activos, están siendo financiados con capital propio.</w:t>
      </w:r>
    </w:p>
    <w:p w:rsidR="006756E8" w:rsidRDefault="006756E8" w:rsidP="005D00AE">
      <w:pPr>
        <w:spacing w:before="0" w:after="0"/>
        <w:jc w:val="both"/>
      </w:pPr>
    </w:p>
    <w:p w:rsidR="006756E8" w:rsidRDefault="006756E8" w:rsidP="005D00AE">
      <w:pPr>
        <w:spacing w:before="0" w:after="0"/>
        <w:jc w:val="both"/>
      </w:pPr>
    </w:p>
    <w:p w:rsidR="006756E8" w:rsidRDefault="006756E8" w:rsidP="005D00AE">
      <w:pPr>
        <w:pStyle w:val="Prrafodelista"/>
        <w:numPr>
          <w:ilvl w:val="0"/>
          <w:numId w:val="50"/>
        </w:numPr>
        <w:spacing w:before="0" w:after="0"/>
        <w:jc w:val="both"/>
      </w:pPr>
      <w:r>
        <w:t>CONCEPTUALIZACION SOBRE LOS ESTADOS FINANCIEROS 201</w:t>
      </w:r>
      <w:r w:rsidR="0079552D">
        <w:t>5</w:t>
      </w:r>
    </w:p>
    <w:p w:rsidR="006756E8" w:rsidRDefault="006756E8" w:rsidP="005D00AE">
      <w:pPr>
        <w:spacing w:before="0" w:after="0"/>
        <w:jc w:val="both"/>
      </w:pPr>
    </w:p>
    <w:p w:rsidR="006756E8" w:rsidRDefault="006756E8" w:rsidP="005D00AE">
      <w:pPr>
        <w:spacing w:before="0" w:after="0"/>
        <w:jc w:val="both"/>
      </w:pPr>
      <w:r>
        <w:t xml:space="preserve">El municipio del Espinal de acuerdo con su Balance General terminado en la fecha, se observa que sus activos totales crecieron un </w:t>
      </w:r>
      <w:r w:rsidR="0079552D">
        <w:t>12.77</w:t>
      </w:r>
      <w:r>
        <w:t>% en la suma de $</w:t>
      </w:r>
      <w:r w:rsidR="0079552D">
        <w:t>7.231.417</w:t>
      </w:r>
      <w:r>
        <w:t xml:space="preserve"> (mies de $), con relación al periodo 201</w:t>
      </w:r>
      <w:r w:rsidR="0079552D">
        <w:t>4</w:t>
      </w:r>
      <w:r>
        <w:t xml:space="preserve">, reflejados en las cuentas </w:t>
      </w:r>
      <w:r w:rsidR="0079552D">
        <w:t>Propiedad Planta y Equipo, Bienes de Uso Público e Históricos y Otros Activos</w:t>
      </w:r>
      <w:r>
        <w:t>.</w:t>
      </w:r>
    </w:p>
    <w:p w:rsidR="006756E8" w:rsidRDefault="006756E8" w:rsidP="005D00AE">
      <w:pPr>
        <w:spacing w:before="0" w:after="0"/>
        <w:jc w:val="both"/>
      </w:pPr>
    </w:p>
    <w:p w:rsidR="006756E8" w:rsidRDefault="006756E8" w:rsidP="005D00AE">
      <w:pPr>
        <w:spacing w:before="0" w:after="0"/>
        <w:jc w:val="both"/>
      </w:pPr>
      <w:r>
        <w:t xml:space="preserve">Su patrimonio creció un </w:t>
      </w:r>
      <w:r w:rsidR="0079552D">
        <w:t>14.13</w:t>
      </w:r>
      <w:r>
        <w:t>%, apalancado principalmente por la</w:t>
      </w:r>
      <w:r w:rsidR="0079552D">
        <w:t>s</w:t>
      </w:r>
      <w:r>
        <w:t xml:space="preserve"> cuenta</w:t>
      </w:r>
      <w:r w:rsidR="0079552D">
        <w:t>s</w:t>
      </w:r>
      <w:r>
        <w:t xml:space="preserve"> </w:t>
      </w:r>
      <w:r w:rsidR="0079552D">
        <w:t xml:space="preserve">Capital  Fiscal y </w:t>
      </w:r>
      <w:r>
        <w:t>Resultados del Ejercicio</w:t>
      </w:r>
      <w:r w:rsidR="0079552D">
        <w:t>.</w:t>
      </w:r>
    </w:p>
    <w:p w:rsidR="0079552D" w:rsidRDefault="0079552D" w:rsidP="005D00AE">
      <w:pPr>
        <w:spacing w:before="0" w:after="0"/>
        <w:jc w:val="both"/>
      </w:pPr>
    </w:p>
    <w:p w:rsidR="000D2062" w:rsidRDefault="000D2062" w:rsidP="005D00AE">
      <w:pPr>
        <w:spacing w:before="0" w:after="0"/>
        <w:jc w:val="both"/>
      </w:pPr>
      <w:r>
        <w:t>Su estructura financiera al cierre del periodo contable 201</w:t>
      </w:r>
      <w:r w:rsidR="00481E5E">
        <w:t>5</w:t>
      </w:r>
      <w:r>
        <w:t xml:space="preserve">, estaba representada en el </w:t>
      </w:r>
      <w:r w:rsidR="00481E5E">
        <w:t>3.09</w:t>
      </w:r>
      <w:r>
        <w:t xml:space="preserve">% los pasivos y el </w:t>
      </w:r>
      <w:r w:rsidR="00481E5E">
        <w:t>96.91</w:t>
      </w:r>
      <w:r>
        <w:t>% el patrimonio.</w:t>
      </w:r>
    </w:p>
    <w:p w:rsidR="000D2062" w:rsidRDefault="000D2062" w:rsidP="005D00AE">
      <w:pPr>
        <w:spacing w:before="0" w:after="0"/>
        <w:jc w:val="both"/>
      </w:pPr>
    </w:p>
    <w:p w:rsidR="000D2062" w:rsidRDefault="000D2062" w:rsidP="005D00AE">
      <w:pPr>
        <w:spacing w:before="0" w:after="0"/>
        <w:jc w:val="both"/>
      </w:pPr>
      <w:r>
        <w:t xml:space="preserve">El municipio presenta un nivel de endeudamiento bajo respecto al total de sus activos, alcanzando un margen del </w:t>
      </w:r>
      <w:r w:rsidR="00481E5E">
        <w:t>26.07</w:t>
      </w:r>
      <w:r>
        <w:t>%.</w:t>
      </w:r>
    </w:p>
    <w:p w:rsidR="000D2062" w:rsidRDefault="000D2062" w:rsidP="005D00AE">
      <w:pPr>
        <w:spacing w:before="0" w:after="0"/>
        <w:jc w:val="both"/>
      </w:pPr>
    </w:p>
    <w:p w:rsidR="000D2062" w:rsidRDefault="000D2062" w:rsidP="005D00AE">
      <w:pPr>
        <w:spacing w:before="0" w:after="0"/>
        <w:jc w:val="both"/>
      </w:pPr>
      <w:r>
        <w:t xml:space="preserve">De acuerdo con los resultados de sus indicadores </w:t>
      </w:r>
      <w:r w:rsidR="00C83948">
        <w:t xml:space="preserve">podemos concluir que el municipio del </w:t>
      </w:r>
      <w:r w:rsidR="00481E5E">
        <w:t>Líbano</w:t>
      </w:r>
      <w:r w:rsidR="00C83948">
        <w:t xml:space="preserve"> al corte del 3</w:t>
      </w:r>
      <w:r w:rsidR="003515F7">
        <w:t>1</w:t>
      </w:r>
      <w:r w:rsidR="00C83948">
        <w:t xml:space="preserve"> de diciembre de 201</w:t>
      </w:r>
      <w:r w:rsidR="00481E5E">
        <w:t>5</w:t>
      </w:r>
      <w:r w:rsidR="00C83948">
        <w:t>, presentaba una situación financiera favorable.</w:t>
      </w:r>
    </w:p>
    <w:p w:rsidR="00A7456E" w:rsidRPr="0067758A" w:rsidRDefault="00A7456E" w:rsidP="005D00AE">
      <w:pPr>
        <w:spacing w:before="0" w:after="0"/>
        <w:jc w:val="both"/>
      </w:pPr>
    </w:p>
    <w:sectPr w:rsidR="00A7456E" w:rsidRPr="0067758A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E33" w:rsidRDefault="00500E33" w:rsidP="00650A99">
      <w:r>
        <w:separator/>
      </w:r>
    </w:p>
  </w:endnote>
  <w:endnote w:type="continuationSeparator" w:id="0">
    <w:p w:rsidR="00500E33" w:rsidRDefault="00500E33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A47" w:rsidRPr="00070555" w:rsidRDefault="00E556EA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1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<v:textbox>
            <w:txbxContent>
              <w:p w:rsidR="00807A47" w:rsidRPr="003205FF" w:rsidRDefault="00807A47" w:rsidP="00B6483D">
                <w:pPr>
                  <w:jc w:val="center"/>
                  <w:rPr>
                    <w:rFonts w:ascii="Tahoma" w:hAnsi="Tahoma" w:cs="Tahoma"/>
                    <w:sz w:val="14"/>
                    <w:szCs w:val="16"/>
                  </w:rPr>
                </w:pP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fldChar w:fldCharType="begin"/>
                </w: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instrText>PAGE  \* Arabic  \* MERGEFORMAT</w:instrText>
                </w: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fldChar w:fldCharType="separate"/>
                </w:r>
                <w:r w:rsidR="00E556EA" w:rsidRPr="00E556EA">
                  <w:rPr>
                    <w:rFonts w:ascii="Tahoma" w:hAnsi="Tahoma" w:cs="Tahoma"/>
                    <w:noProof/>
                    <w:sz w:val="14"/>
                    <w:szCs w:val="16"/>
                    <w:lang w:val="es-ES"/>
                  </w:rPr>
                  <w:t>9</w:t>
                </w:r>
                <w:r w:rsidRPr="003205FF">
                  <w:rPr>
                    <w:rFonts w:ascii="Tahoma" w:hAnsi="Tahoma" w:cs="Tahoma"/>
                    <w:sz w:val="14"/>
                    <w:szCs w:val="16"/>
                  </w:rPr>
                  <w:fldChar w:fldCharType="end"/>
                </w:r>
                <w:r w:rsidRPr="003205FF">
                  <w:rPr>
                    <w:rFonts w:ascii="Tahoma" w:hAnsi="Tahoma" w:cs="Tahoma"/>
                    <w:sz w:val="12"/>
                    <w:szCs w:val="16"/>
                    <w:lang w:val="es-ES"/>
                  </w:rPr>
                  <w:t xml:space="preserve"> de </w:t>
                </w:r>
                <w:fldSimple w:instr="NUMPAGES  \* Arabic  \* MERGEFORMAT">
                  <w:r w:rsidR="00E556EA" w:rsidRPr="00E556EA">
                    <w:rPr>
                      <w:rFonts w:ascii="Tahoma" w:hAnsi="Tahoma" w:cs="Tahoma"/>
                      <w:noProof/>
                      <w:sz w:val="14"/>
                      <w:szCs w:val="16"/>
                      <w:lang w:val="es-ES"/>
                    </w:rPr>
                    <w:t>9</w:t>
                  </w:r>
                </w:fldSimple>
              </w:p>
            </w:txbxContent>
          </v:textbox>
        </v:shape>
      </w:pict>
    </w:r>
    <w:r>
      <w:rPr>
        <w:rFonts w:ascii="Tahoma" w:hAnsi="Tahoma" w:cs="Tahoma"/>
        <w:noProof/>
        <w:sz w:val="14"/>
        <w:szCs w:val="20"/>
      </w:rPr>
      <w:pict>
        <v:shape id="_x0000_s2050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<v:textbox>
            <w:txbxContent>
              <w:p w:rsidR="00807A47" w:rsidRDefault="00807A47"/>
            </w:txbxContent>
          </v:textbox>
        </v:shape>
      </w:pict>
    </w:r>
  </w:p>
  <w:p w:rsidR="00807A47" w:rsidRPr="00070555" w:rsidRDefault="00E556EA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w:pict>
        <v:shape id="_x0000_s2049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<v:textbox>
            <w:txbxContent>
              <w:p w:rsidR="00807A47" w:rsidRDefault="00807A47" w:rsidP="00351487">
                <w:pPr>
                  <w:tabs>
                    <w:tab w:val="left" w:pos="-2835"/>
                    <w:tab w:val="left" w:pos="-2694"/>
                    <w:tab w:val="left" w:pos="-2552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hAnsi="Tahoma" w:cs="Tahoma"/>
                    <w:sz w:val="18"/>
                    <w:szCs w:val="18"/>
                  </w:rPr>
                  <w:t>______________________________________</w:t>
                </w:r>
              </w:p>
              <w:p w:rsidR="00807A47" w:rsidRDefault="00807A47" w:rsidP="00351487">
                <w:pPr>
                  <w:tabs>
                    <w:tab w:val="left" w:pos="-2835"/>
                    <w:tab w:val="left" w:pos="-2694"/>
                    <w:tab w:val="left" w:pos="-2552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</w:p>
              <w:p w:rsidR="00807A47" w:rsidRPr="00BB3D88" w:rsidRDefault="00807A47" w:rsidP="00351487">
                <w:pPr>
                  <w:tabs>
                    <w:tab w:val="left" w:pos="-2835"/>
                    <w:tab w:val="left" w:pos="-2694"/>
                    <w:tab w:val="left" w:pos="-2552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hAnsi="Tahoma" w:cs="Tahoma"/>
                    <w:sz w:val="18"/>
                    <w:szCs w:val="18"/>
                  </w:rPr>
                  <w:t xml:space="preserve">Edificio </w:t>
                </w:r>
                <w:r w:rsidRPr="00BB3D88">
                  <w:rPr>
                    <w:rFonts w:ascii="Tahoma" w:hAnsi="Tahoma" w:cs="Tahoma"/>
                    <w:sz w:val="18"/>
                    <w:szCs w:val="18"/>
                  </w:rPr>
                  <w:t xml:space="preserve">Gobernación del Tolima, Piso 7 </w:t>
                </w:r>
              </w:p>
              <w:p w:rsidR="00807A47" w:rsidRPr="003205FF" w:rsidRDefault="00E556EA" w:rsidP="003205FF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Style w:val="Hipervnculo"/>
                    <w:rFonts w:ascii="Tahoma" w:hAnsi="Tahoma" w:cs="Tahoma"/>
                    <w:color w:val="auto"/>
                    <w:sz w:val="18"/>
                    <w:szCs w:val="18"/>
                    <w:u w:val="none"/>
                  </w:rPr>
                </w:pPr>
                <w:hyperlink r:id="rId1" w:history="1">
                  <w:r w:rsidR="00807A47" w:rsidRPr="003205FF">
                    <w:rPr>
                      <w:rStyle w:val="Hipervnculo"/>
                      <w:rFonts w:ascii="Tahoma" w:hAnsi="Tahoma" w:cs="Tahoma"/>
                      <w:color w:val="auto"/>
                      <w:sz w:val="18"/>
                      <w:szCs w:val="18"/>
                      <w:u w:val="none"/>
                    </w:rPr>
                    <w:t>despacho.contraloria@contraloriatolima.gov.co</w:t>
                  </w:r>
                </w:hyperlink>
              </w:p>
              <w:p w:rsidR="00807A47" w:rsidRPr="000352F0" w:rsidRDefault="00807A47" w:rsidP="00351487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Style w:val="Hipervnculo"/>
                    <w:rFonts w:ascii="Tahoma" w:hAnsi="Tahoma" w:cs="Tahoma"/>
                    <w:color w:val="auto"/>
                    <w:sz w:val="18"/>
                    <w:szCs w:val="18"/>
                    <w:u w:val="none"/>
                  </w:rPr>
                </w:pPr>
                <w:r w:rsidRPr="000352F0">
                  <w:rPr>
                    <w:rFonts w:ascii="Tahoma" w:hAnsi="Tahoma" w:cs="Tahoma"/>
                    <w:sz w:val="18"/>
                    <w:szCs w:val="18"/>
                  </w:rPr>
                  <w:t>Web-</w:t>
                </w:r>
                <w:proofErr w:type="spellStart"/>
                <w:r w:rsidRPr="000352F0">
                  <w:rPr>
                    <w:rFonts w:ascii="Tahoma" w:hAnsi="Tahoma" w:cs="Tahoma"/>
                    <w:sz w:val="18"/>
                    <w:szCs w:val="18"/>
                  </w:rPr>
                  <w:t>Site</w:t>
                </w:r>
                <w:proofErr w:type="spellEnd"/>
                <w:r w:rsidRPr="000352F0">
                  <w:rPr>
                    <w:rFonts w:ascii="Tahoma" w:hAnsi="Tahoma" w:cs="Tahoma"/>
                    <w:sz w:val="18"/>
                    <w:szCs w:val="18"/>
                  </w:rPr>
                  <w:t xml:space="preserve">:  </w:t>
                </w:r>
                <w:hyperlink r:id="rId2" w:history="1">
                  <w:r w:rsidRPr="000352F0">
                    <w:rPr>
                      <w:rStyle w:val="Hipervnculo"/>
                      <w:rFonts w:ascii="Tahoma" w:hAnsi="Tahoma" w:cs="Tahoma"/>
                      <w:color w:val="auto"/>
                      <w:sz w:val="18"/>
                      <w:szCs w:val="18"/>
                      <w:u w:val="none"/>
                    </w:rPr>
                    <w:t>www.contraloriatolima.gov.co</w:t>
                  </w:r>
                </w:hyperlink>
              </w:p>
              <w:p w:rsidR="00807A47" w:rsidRPr="00BB3D88" w:rsidRDefault="00807A47" w:rsidP="00351487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hAnsi="Tahoma" w:cs="Tahoma"/>
                    <w:sz w:val="18"/>
                    <w:szCs w:val="18"/>
                  </w:rPr>
                  <w:t xml:space="preserve">PBX: 2 </w:t>
                </w:r>
                <w:r w:rsidRPr="00BB3D88">
                  <w:rPr>
                    <w:rFonts w:ascii="Tahoma" w:hAnsi="Tahoma" w:cs="Tahoma"/>
                    <w:sz w:val="18"/>
                    <w:szCs w:val="18"/>
                  </w:rPr>
                  <w:t xml:space="preserve">611167 </w:t>
                </w:r>
                <w:r>
                  <w:rPr>
                    <w:rFonts w:ascii="Tahoma" w:hAnsi="Tahoma" w:cs="Tahoma"/>
                    <w:sz w:val="18"/>
                    <w:szCs w:val="18"/>
                  </w:rPr>
                  <w:t>/ 2 61 11 69</w:t>
                </w:r>
              </w:p>
              <w:p w:rsidR="00807A47" w:rsidRPr="00A926CE" w:rsidRDefault="00807A47" w:rsidP="00351487">
                <w:pPr>
                  <w:tabs>
                    <w:tab w:val="left" w:pos="-2835"/>
                    <w:tab w:val="left" w:pos="-2694"/>
                    <w:tab w:val="left" w:pos="0"/>
                    <w:tab w:val="left" w:pos="142"/>
                  </w:tabs>
                  <w:spacing w:before="0" w:after="0"/>
                  <w:ind w:left="142"/>
                  <w:jc w:val="center"/>
                  <w:rPr>
                    <w:rFonts w:ascii="Tahoma" w:hAnsi="Tahoma" w:cs="Tahoma"/>
                    <w:sz w:val="18"/>
                    <w:szCs w:val="20"/>
                  </w:rPr>
                </w:pPr>
                <w:r w:rsidRPr="00A926CE">
                  <w:rPr>
                    <w:rFonts w:ascii="Tahoma" w:hAnsi="Tahoma" w:cs="Tahoma"/>
                    <w:sz w:val="18"/>
                    <w:szCs w:val="20"/>
                  </w:rPr>
                  <w:t>NIT: 890.706.847-1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E33" w:rsidRDefault="00500E33" w:rsidP="00650A99">
      <w:r>
        <w:separator/>
      </w:r>
    </w:p>
  </w:footnote>
  <w:footnote w:type="continuationSeparator" w:id="0">
    <w:p w:rsidR="00500E33" w:rsidRDefault="00500E33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A47" w:rsidRDefault="00315735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5735" w:rsidRDefault="0031573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A99"/>
    <w:rsid w:val="00014DDB"/>
    <w:rsid w:val="00025419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913E2"/>
    <w:rsid w:val="000A4FDA"/>
    <w:rsid w:val="000A5F72"/>
    <w:rsid w:val="000B2584"/>
    <w:rsid w:val="000B3E43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274A"/>
    <w:rsid w:val="002049C5"/>
    <w:rsid w:val="00216974"/>
    <w:rsid w:val="00224140"/>
    <w:rsid w:val="00226503"/>
    <w:rsid w:val="002467D6"/>
    <w:rsid w:val="00250B2A"/>
    <w:rsid w:val="00254A87"/>
    <w:rsid w:val="002608D4"/>
    <w:rsid w:val="00267A53"/>
    <w:rsid w:val="002702FE"/>
    <w:rsid w:val="002751D2"/>
    <w:rsid w:val="00293B22"/>
    <w:rsid w:val="00294FB6"/>
    <w:rsid w:val="00297AD1"/>
    <w:rsid w:val="002A5283"/>
    <w:rsid w:val="002C24CB"/>
    <w:rsid w:val="002C31ED"/>
    <w:rsid w:val="002D62AF"/>
    <w:rsid w:val="002E1436"/>
    <w:rsid w:val="002E7240"/>
    <w:rsid w:val="002F54E8"/>
    <w:rsid w:val="003026A2"/>
    <w:rsid w:val="00303824"/>
    <w:rsid w:val="00306CC6"/>
    <w:rsid w:val="00315735"/>
    <w:rsid w:val="003205FF"/>
    <w:rsid w:val="00321EC8"/>
    <w:rsid w:val="003305B2"/>
    <w:rsid w:val="00332DE4"/>
    <w:rsid w:val="00341B3E"/>
    <w:rsid w:val="00351487"/>
    <w:rsid w:val="003515F7"/>
    <w:rsid w:val="00356B3F"/>
    <w:rsid w:val="00367CB1"/>
    <w:rsid w:val="00372F40"/>
    <w:rsid w:val="00375CC7"/>
    <w:rsid w:val="003810B6"/>
    <w:rsid w:val="0039183D"/>
    <w:rsid w:val="00391C14"/>
    <w:rsid w:val="00397766"/>
    <w:rsid w:val="003A5822"/>
    <w:rsid w:val="003B11DD"/>
    <w:rsid w:val="003B72A8"/>
    <w:rsid w:val="003C0774"/>
    <w:rsid w:val="003C5E57"/>
    <w:rsid w:val="003E25A9"/>
    <w:rsid w:val="003F55C4"/>
    <w:rsid w:val="003F5E08"/>
    <w:rsid w:val="004032C1"/>
    <w:rsid w:val="00407637"/>
    <w:rsid w:val="004120E2"/>
    <w:rsid w:val="00430D77"/>
    <w:rsid w:val="00437F1D"/>
    <w:rsid w:val="00440EAB"/>
    <w:rsid w:val="00452E65"/>
    <w:rsid w:val="00454B8B"/>
    <w:rsid w:val="00466271"/>
    <w:rsid w:val="0046718C"/>
    <w:rsid w:val="00467508"/>
    <w:rsid w:val="00467595"/>
    <w:rsid w:val="00480FCA"/>
    <w:rsid w:val="00481E5E"/>
    <w:rsid w:val="0048203B"/>
    <w:rsid w:val="0049303C"/>
    <w:rsid w:val="00493C86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4F4C50"/>
    <w:rsid w:val="00500E33"/>
    <w:rsid w:val="00506345"/>
    <w:rsid w:val="00516E68"/>
    <w:rsid w:val="00520FA4"/>
    <w:rsid w:val="0052650A"/>
    <w:rsid w:val="005279E8"/>
    <w:rsid w:val="00551920"/>
    <w:rsid w:val="00552A0E"/>
    <w:rsid w:val="00554F24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B6F12"/>
    <w:rsid w:val="005C3743"/>
    <w:rsid w:val="005D00AE"/>
    <w:rsid w:val="005E1DE9"/>
    <w:rsid w:val="005E5E78"/>
    <w:rsid w:val="005F356A"/>
    <w:rsid w:val="00603AAD"/>
    <w:rsid w:val="00604905"/>
    <w:rsid w:val="006068E9"/>
    <w:rsid w:val="006074FF"/>
    <w:rsid w:val="00617A76"/>
    <w:rsid w:val="00617E98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5FCB"/>
    <w:rsid w:val="006B765E"/>
    <w:rsid w:val="006D2B4A"/>
    <w:rsid w:val="00700DB0"/>
    <w:rsid w:val="0070120A"/>
    <w:rsid w:val="00704103"/>
    <w:rsid w:val="007062D9"/>
    <w:rsid w:val="00706545"/>
    <w:rsid w:val="00745063"/>
    <w:rsid w:val="00747180"/>
    <w:rsid w:val="00754337"/>
    <w:rsid w:val="00764ABD"/>
    <w:rsid w:val="00764B7F"/>
    <w:rsid w:val="00770276"/>
    <w:rsid w:val="00770ADC"/>
    <w:rsid w:val="00771928"/>
    <w:rsid w:val="00773282"/>
    <w:rsid w:val="0079552D"/>
    <w:rsid w:val="00796DDA"/>
    <w:rsid w:val="007A0220"/>
    <w:rsid w:val="007B4882"/>
    <w:rsid w:val="007B70F7"/>
    <w:rsid w:val="007C4270"/>
    <w:rsid w:val="007D4A2F"/>
    <w:rsid w:val="007F7C04"/>
    <w:rsid w:val="00800EEF"/>
    <w:rsid w:val="008036D7"/>
    <w:rsid w:val="00807A47"/>
    <w:rsid w:val="00814D3D"/>
    <w:rsid w:val="00815D0B"/>
    <w:rsid w:val="00820529"/>
    <w:rsid w:val="00821EDD"/>
    <w:rsid w:val="00827082"/>
    <w:rsid w:val="00832014"/>
    <w:rsid w:val="008326D2"/>
    <w:rsid w:val="00854602"/>
    <w:rsid w:val="00872CA8"/>
    <w:rsid w:val="008761A0"/>
    <w:rsid w:val="00897455"/>
    <w:rsid w:val="008A0D33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551E3"/>
    <w:rsid w:val="00957662"/>
    <w:rsid w:val="009606B3"/>
    <w:rsid w:val="00966EAD"/>
    <w:rsid w:val="00990B51"/>
    <w:rsid w:val="00991F22"/>
    <w:rsid w:val="009C0615"/>
    <w:rsid w:val="009D7ECE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6DD0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414E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E00EAB"/>
    <w:rsid w:val="00E06024"/>
    <w:rsid w:val="00E13FB3"/>
    <w:rsid w:val="00E37DA4"/>
    <w:rsid w:val="00E438FA"/>
    <w:rsid w:val="00E44E11"/>
    <w:rsid w:val="00E556EA"/>
    <w:rsid w:val="00E562E9"/>
    <w:rsid w:val="00E745B9"/>
    <w:rsid w:val="00E80CF1"/>
    <w:rsid w:val="00ED18CB"/>
    <w:rsid w:val="00F067EF"/>
    <w:rsid w:val="00F11CE8"/>
    <w:rsid w:val="00F152E9"/>
    <w:rsid w:val="00F401CA"/>
    <w:rsid w:val="00F413A2"/>
    <w:rsid w:val="00F57D5F"/>
    <w:rsid w:val="00F612C4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5:docId w15:val="{B9C3A8D3-FB2C-4409-8C09-7D57225B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9</Pages>
  <Words>2139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24</cp:revision>
  <cp:lastPrinted>2016-12-25T22:10:00Z</cp:lastPrinted>
  <dcterms:created xsi:type="dcterms:W3CDTF">2015-09-17T16:47:00Z</dcterms:created>
  <dcterms:modified xsi:type="dcterms:W3CDTF">2016-12-25T22:11:00Z</dcterms:modified>
</cp:coreProperties>
</file>