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3AA" w:rsidRPr="001553AA" w:rsidRDefault="0067758A" w:rsidP="001553AA">
      <w:pPr>
        <w:pStyle w:val="Prrafodelista"/>
        <w:numPr>
          <w:ilvl w:val="0"/>
          <w:numId w:val="50"/>
        </w:numPr>
        <w:rPr>
          <w:b/>
        </w:rPr>
      </w:pPr>
      <w:bookmarkStart w:id="0" w:name="_GoBack"/>
      <w:bookmarkEnd w:id="0"/>
      <w:r w:rsidRPr="0067758A">
        <w:rPr>
          <w:rFonts w:ascii="Tahoma" w:hAnsi="Tahoma" w:cs="Tahoma"/>
          <w:b/>
        </w:rPr>
        <w:t xml:space="preserve">BALANCE GENERAL COMPARATIVO </w:t>
      </w:r>
    </w:p>
    <w:p w:rsidR="005D57CC" w:rsidRDefault="005D57CC" w:rsidP="00481C55">
      <w:pPr>
        <w:spacing w:before="0" w:after="0"/>
        <w:jc w:val="both"/>
        <w:rPr>
          <w:rFonts w:ascii="Tahoma" w:hAnsi="Tahoma" w:cs="Tahoma"/>
        </w:rPr>
      </w:pPr>
    </w:p>
    <w:tbl>
      <w:tblPr>
        <w:tblW w:w="94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0"/>
        <w:gridCol w:w="1360"/>
        <w:gridCol w:w="1420"/>
        <w:gridCol w:w="1400"/>
        <w:gridCol w:w="1329"/>
      </w:tblGrid>
      <w:tr w:rsidR="00EE3527" w:rsidRPr="00EE3527" w:rsidTr="00EE3527">
        <w:trPr>
          <w:trHeight w:val="255"/>
        </w:trPr>
        <w:tc>
          <w:tcPr>
            <w:tcW w:w="9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EE3527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Hospital Departamental Reina Sofía de España E.S.E - Lérida </w:t>
            </w:r>
          </w:p>
        </w:tc>
      </w:tr>
      <w:tr w:rsidR="00EE3527" w:rsidRPr="00EE3527" w:rsidTr="00EE3527">
        <w:trPr>
          <w:trHeight w:val="300"/>
        </w:trPr>
        <w:tc>
          <w:tcPr>
            <w:tcW w:w="9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Balance General Comparativo 2015 -2014</w:t>
            </w:r>
          </w:p>
        </w:tc>
      </w:tr>
      <w:tr w:rsidR="00EE3527" w:rsidRPr="00EE3527" w:rsidTr="00EE3527">
        <w:trPr>
          <w:trHeight w:val="27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E3527" w:rsidRPr="00EE3527" w:rsidTr="00EE3527">
        <w:trPr>
          <w:trHeight w:val="525"/>
        </w:trPr>
        <w:tc>
          <w:tcPr>
            <w:tcW w:w="39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EE352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EE352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-2015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EE352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0000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EE352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EE352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10.893.032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10.123.814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769.218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255.123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44.069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211.054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478,92%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CAJA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3.974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3.051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330,55%</w:t>
            </w:r>
          </w:p>
        </w:tc>
      </w:tr>
      <w:tr w:rsidR="00EE3527" w:rsidRPr="00EE3527" w:rsidTr="00EE3527">
        <w:trPr>
          <w:trHeight w:val="36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251.149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43.146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208.003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482,09%</w:t>
            </w:r>
          </w:p>
        </w:tc>
      </w:tr>
      <w:tr w:rsidR="00EE3527" w:rsidRPr="00EE3527" w:rsidTr="00EE3527">
        <w:trPr>
          <w:trHeight w:val="30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E INSTRUMENTOS DERIVADOS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12.567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5,12%</w:t>
            </w:r>
          </w:p>
        </w:tc>
      </w:tr>
      <w:tr w:rsidR="00EE3527" w:rsidRPr="00EE3527" w:rsidTr="00EE3527">
        <w:trPr>
          <w:trHeight w:val="46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PATRIMONIALES EN ENTIDADES NO CONTROLADAS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13.211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12.567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5,12%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5.401.334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5.119.735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281.599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5,50%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6.662.109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5.996.953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665.156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11,09%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ENTREGADOS EN GARANTÍA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6.685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6.685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369.956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39.055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330.901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847,27%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DEUDORES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-1.637.416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-922.958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-714.458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77,41%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INVENTARIOS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34.715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29.665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5.050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17,02%</w:t>
            </w:r>
          </w:p>
        </w:tc>
      </w:tr>
      <w:tr w:rsidR="00EE3527" w:rsidRPr="00EE3527" w:rsidTr="00EE3527">
        <w:trPr>
          <w:trHeight w:val="45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MATERIALES PARA LA PRESTACIÓN DE SERVICIOS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34.715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29.665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5.050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17,02%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4.100.598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4.550.808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-450.210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-9,89%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150.770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156.884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-6.114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-3,90%</w:t>
            </w:r>
          </w:p>
        </w:tc>
      </w:tr>
      <w:tr w:rsidR="00EE3527" w:rsidRPr="00EE3527" w:rsidTr="00EE3527">
        <w:trPr>
          <w:trHeight w:val="45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EN MANTENIMIENTO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3.613.618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3.613.618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PLANTAS, DUCTOS Y TÚNELES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113.684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113.684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REDES, LÍNEAS Y CABLES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25.720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25.720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23.699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22.839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3,77%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2.198.386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2.176.073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22.313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1,03%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168.709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161.031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7.678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4,77%</w:t>
            </w:r>
          </w:p>
        </w:tc>
      </w:tr>
      <w:tr w:rsidR="00EE3527" w:rsidRPr="00EE3527" w:rsidTr="00EE3527">
        <w:trPr>
          <w:trHeight w:val="45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352.200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346.001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6.199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1,79%</w:t>
            </w:r>
          </w:p>
        </w:tc>
      </w:tr>
      <w:tr w:rsidR="00EE3527" w:rsidRPr="00EE3527" w:rsidTr="00EE3527">
        <w:trPr>
          <w:trHeight w:val="45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353.637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353.637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45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COMEDOR, COCINA, DESPENSA Y HOTELERÍA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14.936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14.936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-2.914.961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-2.433.815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-481.146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19,77%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1.088.051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366.970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721.081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196,50%</w:t>
            </w:r>
          </w:p>
        </w:tc>
      </w:tr>
      <w:tr w:rsidR="00EE3527" w:rsidRPr="00EE3527" w:rsidTr="00EE3527">
        <w:trPr>
          <w:trHeight w:val="45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BIENES Y SERVICIOS PAGADOS POR ANTICIPADO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783.912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67.248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716.664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1065,70%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CARGOS DIFERIDOS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40.726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36.310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4.416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12,16%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ENTREGADOS A TERCEROS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25.996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25.995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ARTE Y CULTURA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INTANGIBLES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428.767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428.767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45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DE INTANGIBLES (CR)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-192.247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-192.247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VALORIZACIONES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6.439.649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4.562.573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1.877.076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41,14%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6.168.081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4.408.497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1.759.584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39,91%</w:t>
            </w:r>
          </w:p>
        </w:tc>
      </w:tr>
      <w:tr w:rsidR="00EE3527" w:rsidRPr="00EE3527" w:rsidTr="00EE3527">
        <w:trPr>
          <w:trHeight w:val="45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1.859.295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871.998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987.297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113,22%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4.061.132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3.328.745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732.387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22,00%</w:t>
            </w:r>
          </w:p>
        </w:tc>
      </w:tr>
      <w:tr w:rsidR="00EE3527" w:rsidRPr="00EE3527" w:rsidTr="00EE3527">
        <w:trPr>
          <w:trHeight w:val="45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82.594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40.666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41.928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103,10%</w:t>
            </w:r>
          </w:p>
        </w:tc>
      </w:tr>
      <w:tr w:rsidR="00EE3527" w:rsidRPr="00EE3527" w:rsidTr="00EE3527">
        <w:trPr>
          <w:trHeight w:val="45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POR PAGAR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-2.028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CRÉDITOS JUDICIALES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165.060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165.060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100,00%</w:t>
            </w:r>
          </w:p>
        </w:tc>
      </w:tr>
      <w:tr w:rsidR="00EE3527" w:rsidRPr="00EE3527" w:rsidTr="00EE3527">
        <w:trPr>
          <w:trHeight w:val="45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OBLIGACIONES LABORALES Y DE SEGURIDAD SOCIAL INTEGRAL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65.743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48.251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17.492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65.743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48.251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17.492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181.334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81.334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122,95%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181.334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81.334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122,95%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24.491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24.491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24.491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24.491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4.453.383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5.561.241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-1.107.858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-19,92%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INSTITUCIONAL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4.453.383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5.561.241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-1.107.858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-19,92%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2.350.394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1.747.928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602.466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34,47%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RESULTADOS DEL EJERCICIO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9.421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167.866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-158.445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-94,39%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DONACIÓN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3.981.775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3.981.775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VALORIZACIÓN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0,00%</w:t>
            </w:r>
          </w:p>
        </w:tc>
      </w:tr>
      <w:tr w:rsidR="00EE3527" w:rsidRPr="00EE3527" w:rsidTr="00EE3527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EFECTO DEL SANEAMIENTO CONTABLE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-337.025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 </w:t>
            </w:r>
          </w:p>
        </w:tc>
      </w:tr>
      <w:tr w:rsidR="00EE3527" w:rsidRPr="00EE3527" w:rsidTr="00EE3527">
        <w:trPr>
          <w:trHeight w:val="46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527" w:rsidRPr="00EE3527" w:rsidRDefault="00EE3527" w:rsidP="00EE352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DEPRECIACIONES Y AMORTIZACIONES (DB)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-1.888.904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-1.888.904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527" w:rsidRPr="00EE3527" w:rsidRDefault="00EE3527" w:rsidP="00EE352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EE352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100,00%</w:t>
            </w:r>
          </w:p>
        </w:tc>
      </w:tr>
    </w:tbl>
    <w:p w:rsidR="008371F8" w:rsidRDefault="008371F8" w:rsidP="00481C55">
      <w:pPr>
        <w:spacing w:before="0" w:after="0"/>
        <w:jc w:val="both"/>
        <w:rPr>
          <w:rFonts w:ascii="Tahoma" w:hAnsi="Tahoma" w:cs="Tahoma"/>
        </w:rPr>
      </w:pPr>
    </w:p>
    <w:p w:rsidR="008371F8" w:rsidRDefault="008371F8" w:rsidP="00481C55">
      <w:pPr>
        <w:spacing w:before="0" w:after="0"/>
        <w:jc w:val="both"/>
        <w:rPr>
          <w:rFonts w:ascii="Tahoma" w:hAnsi="Tahoma" w:cs="Tahoma"/>
        </w:rPr>
      </w:pPr>
    </w:p>
    <w:p w:rsidR="005D57CC" w:rsidRDefault="00A5299C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 el Balance General a diciembre 31 de 2015, y confrontado con el mismo resultado y la misma fecha del 2014, el hospital </w:t>
      </w:r>
      <w:r w:rsidR="008371F8">
        <w:rPr>
          <w:rFonts w:ascii="Tahoma" w:hAnsi="Tahoma" w:cs="Tahoma"/>
        </w:rPr>
        <w:t>Reina Sofía de España d</w:t>
      </w:r>
      <w:r>
        <w:rPr>
          <w:rFonts w:ascii="Tahoma" w:hAnsi="Tahoma" w:cs="Tahoma"/>
        </w:rPr>
        <w:t xml:space="preserve">el Municipio de Lérida registra un incremento en sus activos en un porcentaje del </w:t>
      </w:r>
      <w:r w:rsidR="008371F8">
        <w:rPr>
          <w:rFonts w:ascii="Tahoma" w:hAnsi="Tahoma" w:cs="Tahoma"/>
        </w:rPr>
        <w:t>7.60</w:t>
      </w:r>
      <w:r>
        <w:rPr>
          <w:rFonts w:ascii="Tahoma" w:hAnsi="Tahoma" w:cs="Tahoma"/>
        </w:rPr>
        <w:t>%</w:t>
      </w:r>
      <w:r w:rsidR="00431C08">
        <w:rPr>
          <w:rFonts w:ascii="Tahoma" w:hAnsi="Tahoma" w:cs="Tahoma"/>
        </w:rPr>
        <w:t xml:space="preserve">, el Pasivo subió el </w:t>
      </w:r>
      <w:r w:rsidR="008371F8">
        <w:rPr>
          <w:rFonts w:ascii="Tahoma" w:hAnsi="Tahoma" w:cs="Tahoma"/>
        </w:rPr>
        <w:t>41.14%</w:t>
      </w:r>
      <w:r w:rsidR="00431C08">
        <w:rPr>
          <w:rFonts w:ascii="Tahoma" w:hAnsi="Tahoma" w:cs="Tahoma"/>
        </w:rPr>
        <w:t xml:space="preserve"> y el Patrimonio</w:t>
      </w:r>
      <w:r w:rsidR="008371F8">
        <w:rPr>
          <w:rFonts w:ascii="Tahoma" w:hAnsi="Tahoma" w:cs="Tahoma"/>
        </w:rPr>
        <w:t xml:space="preserve"> disminuyo</w:t>
      </w:r>
      <w:r w:rsidR="00431C08">
        <w:rPr>
          <w:rFonts w:ascii="Tahoma" w:hAnsi="Tahoma" w:cs="Tahoma"/>
        </w:rPr>
        <w:t xml:space="preserve"> el </w:t>
      </w:r>
      <w:r w:rsidR="008371F8">
        <w:rPr>
          <w:rFonts w:ascii="Tahoma" w:hAnsi="Tahoma" w:cs="Tahoma"/>
        </w:rPr>
        <w:t>19.92</w:t>
      </w:r>
      <w:r w:rsidR="00431C08">
        <w:rPr>
          <w:rFonts w:ascii="Tahoma" w:hAnsi="Tahoma" w:cs="Tahoma"/>
        </w:rPr>
        <w:t>%.</w:t>
      </w:r>
    </w:p>
    <w:p w:rsidR="00431C08" w:rsidRDefault="00431C08" w:rsidP="00481C55">
      <w:pPr>
        <w:spacing w:before="0" w:after="0"/>
        <w:jc w:val="both"/>
        <w:rPr>
          <w:rFonts w:ascii="Tahoma" w:hAnsi="Tahoma" w:cs="Tahoma"/>
        </w:rPr>
      </w:pPr>
    </w:p>
    <w:p w:rsidR="00431C08" w:rsidRDefault="00431C08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De los activos, la cuenta</w:t>
      </w:r>
      <w:r w:rsidR="008371F8">
        <w:rPr>
          <w:rFonts w:ascii="Tahoma" w:hAnsi="Tahoma" w:cs="Tahoma"/>
        </w:rPr>
        <w:t xml:space="preserve"> Depósitos en Instituciones Financieras creció el 482.09%, </w:t>
      </w:r>
      <w:r>
        <w:rPr>
          <w:rFonts w:ascii="Tahoma" w:hAnsi="Tahoma" w:cs="Tahoma"/>
        </w:rPr>
        <w:t xml:space="preserve"> Deudores registra un crecimiento del </w:t>
      </w:r>
      <w:r w:rsidR="008371F8">
        <w:rPr>
          <w:rFonts w:ascii="Tahoma" w:hAnsi="Tahoma" w:cs="Tahoma"/>
        </w:rPr>
        <w:t>5.50</w:t>
      </w:r>
      <w:r>
        <w:rPr>
          <w:rFonts w:ascii="Tahoma" w:hAnsi="Tahoma" w:cs="Tahoma"/>
        </w:rPr>
        <w:t xml:space="preserve">% con respecto al 2014, los Inventarios el </w:t>
      </w:r>
      <w:r w:rsidR="008371F8">
        <w:rPr>
          <w:rFonts w:ascii="Tahoma" w:hAnsi="Tahoma" w:cs="Tahoma"/>
        </w:rPr>
        <w:t>17.02</w:t>
      </w:r>
      <w:r>
        <w:rPr>
          <w:rFonts w:ascii="Tahoma" w:hAnsi="Tahoma" w:cs="Tahoma"/>
        </w:rPr>
        <w:t>% y la Propiedad Planta y Equipo</w:t>
      </w:r>
      <w:r w:rsidR="008371F8">
        <w:rPr>
          <w:rFonts w:ascii="Tahoma" w:hAnsi="Tahoma" w:cs="Tahoma"/>
        </w:rPr>
        <w:t xml:space="preserve"> por el contrario registra una disminución del 9.89%.</w:t>
      </w:r>
    </w:p>
    <w:p w:rsidR="00431C08" w:rsidRDefault="00431C08" w:rsidP="00481C55">
      <w:pPr>
        <w:spacing w:before="0" w:after="0"/>
        <w:jc w:val="both"/>
        <w:rPr>
          <w:rFonts w:ascii="Tahoma" w:hAnsi="Tahoma" w:cs="Tahoma"/>
        </w:rPr>
      </w:pPr>
    </w:p>
    <w:p w:rsidR="00431C08" w:rsidRDefault="00431C08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 la cuenta Deudores, la sub cuenta </w:t>
      </w:r>
      <w:r w:rsidR="008371F8">
        <w:rPr>
          <w:rFonts w:ascii="Tahoma" w:hAnsi="Tahoma" w:cs="Tahoma"/>
        </w:rPr>
        <w:t>S</w:t>
      </w:r>
      <w:r>
        <w:rPr>
          <w:rFonts w:ascii="Tahoma" w:hAnsi="Tahoma" w:cs="Tahoma"/>
        </w:rPr>
        <w:t xml:space="preserve">ervicios de </w:t>
      </w:r>
      <w:r w:rsidR="008371F8">
        <w:rPr>
          <w:rFonts w:ascii="Tahoma" w:hAnsi="Tahoma" w:cs="Tahoma"/>
        </w:rPr>
        <w:t>S</w:t>
      </w:r>
      <w:r>
        <w:rPr>
          <w:rFonts w:ascii="Tahoma" w:hAnsi="Tahoma" w:cs="Tahoma"/>
        </w:rPr>
        <w:t>alud de un saldo en el 2014 por la suma de $</w:t>
      </w:r>
      <w:r w:rsidR="008371F8">
        <w:rPr>
          <w:rFonts w:ascii="Tahoma" w:hAnsi="Tahoma" w:cs="Tahoma"/>
        </w:rPr>
        <w:t>5.996,953</w:t>
      </w:r>
      <w:r>
        <w:rPr>
          <w:rFonts w:ascii="Tahoma" w:hAnsi="Tahoma" w:cs="Tahoma"/>
        </w:rPr>
        <w:t xml:space="preserve"> miles de pesos, paso en el 2015 a un saldo de </w:t>
      </w:r>
      <w:r w:rsidR="00EE3527">
        <w:rPr>
          <w:rFonts w:ascii="Tahoma" w:hAnsi="Tahoma" w:cs="Tahoma"/>
        </w:rPr>
        <w:t>$6</w:t>
      </w:r>
      <w:r>
        <w:rPr>
          <w:rFonts w:ascii="Tahoma" w:hAnsi="Tahoma" w:cs="Tahoma"/>
        </w:rPr>
        <w:t>.</w:t>
      </w:r>
      <w:r w:rsidR="00EE3527">
        <w:rPr>
          <w:rFonts w:ascii="Tahoma" w:hAnsi="Tahoma" w:cs="Tahoma"/>
        </w:rPr>
        <w:t>662</w:t>
      </w:r>
      <w:r>
        <w:rPr>
          <w:rFonts w:ascii="Tahoma" w:hAnsi="Tahoma" w:cs="Tahoma"/>
        </w:rPr>
        <w:t>.</w:t>
      </w:r>
      <w:r w:rsidR="00EE3527">
        <w:rPr>
          <w:rFonts w:ascii="Tahoma" w:hAnsi="Tahoma" w:cs="Tahoma"/>
        </w:rPr>
        <w:t>109</w:t>
      </w:r>
      <w:r>
        <w:rPr>
          <w:rFonts w:ascii="Tahoma" w:hAnsi="Tahoma" w:cs="Tahoma"/>
        </w:rPr>
        <w:t xml:space="preserve"> miles de pesos, obteniendo una variación del </w:t>
      </w:r>
      <w:r w:rsidR="00EE3527">
        <w:rPr>
          <w:rFonts w:ascii="Tahoma" w:hAnsi="Tahoma" w:cs="Tahoma"/>
        </w:rPr>
        <w:t>11.09</w:t>
      </w:r>
      <w:r>
        <w:rPr>
          <w:rFonts w:ascii="Tahoma" w:hAnsi="Tahoma" w:cs="Tahoma"/>
        </w:rPr>
        <w:t>%; para l</w:t>
      </w:r>
      <w:r w:rsidR="00EE3527">
        <w:rPr>
          <w:rFonts w:ascii="Tahoma" w:hAnsi="Tahoma" w:cs="Tahoma"/>
        </w:rPr>
        <w:t>a Propiedad Planta y Equipo, la sub cuenta Depreciación Acumulada provoco su reducción, esta cuenta se presenta en el balance restando de la PPyE, ya que las demás sub cuentas permanecieron prácticamente constantes.</w:t>
      </w:r>
    </w:p>
    <w:p w:rsidR="00BE3BEC" w:rsidRDefault="00BE3BEC" w:rsidP="00481C55">
      <w:pPr>
        <w:spacing w:before="0" w:after="0"/>
        <w:jc w:val="both"/>
        <w:rPr>
          <w:rFonts w:ascii="Tahoma" w:hAnsi="Tahoma" w:cs="Tahoma"/>
        </w:rPr>
      </w:pPr>
    </w:p>
    <w:p w:rsidR="00EE3527" w:rsidRDefault="00EE3527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Otros Pasivos por su parte, de un saldo en el 2014 de $</w:t>
      </w:r>
      <w:r w:rsidR="009C7900">
        <w:rPr>
          <w:rFonts w:ascii="Tahoma" w:hAnsi="Tahoma" w:cs="Tahoma"/>
        </w:rPr>
        <w:t>366.970 miles de pesos, paso a un saldo en el 2015 por la suma de $1.088.051 miles de pesos, es decir una variación porcentual del 196.50%</w:t>
      </w:r>
    </w:p>
    <w:p w:rsidR="009C7900" w:rsidRDefault="009C7900" w:rsidP="00481C55">
      <w:pPr>
        <w:spacing w:before="0" w:after="0"/>
        <w:jc w:val="both"/>
        <w:rPr>
          <w:rFonts w:ascii="Tahoma" w:hAnsi="Tahoma" w:cs="Tahoma"/>
        </w:rPr>
      </w:pPr>
    </w:p>
    <w:p w:rsidR="00BE3BEC" w:rsidRDefault="00BF2069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grupo del Pasivo por su parte, nos muestra el incremento de las Cuentas por Pagar,</w:t>
      </w:r>
      <w:r w:rsidR="005E0F2D">
        <w:rPr>
          <w:rFonts w:ascii="Tahoma" w:hAnsi="Tahoma" w:cs="Tahoma"/>
        </w:rPr>
        <w:t xml:space="preserve"> del </w:t>
      </w:r>
      <w:r w:rsidR="009C7900">
        <w:rPr>
          <w:rFonts w:ascii="Tahoma" w:hAnsi="Tahoma" w:cs="Tahoma"/>
        </w:rPr>
        <w:t>39.91</w:t>
      </w:r>
      <w:r w:rsidR="005E0F2D">
        <w:rPr>
          <w:rFonts w:ascii="Tahoma" w:hAnsi="Tahoma" w:cs="Tahoma"/>
        </w:rPr>
        <w:t>% es decir la suma de $</w:t>
      </w:r>
      <w:r w:rsidR="009C7900">
        <w:rPr>
          <w:rFonts w:ascii="Tahoma" w:hAnsi="Tahoma" w:cs="Tahoma"/>
        </w:rPr>
        <w:t>1.759.584</w:t>
      </w:r>
      <w:r w:rsidR="005E0F2D">
        <w:rPr>
          <w:rFonts w:ascii="Tahoma" w:hAnsi="Tahoma" w:cs="Tahoma"/>
        </w:rPr>
        <w:t xml:space="preserve"> miles de pesos, comparado con lo registrado en el 2014, de allí que cuentas como la Adquisición de Bienes y Servicios presentan incrementos del </w:t>
      </w:r>
      <w:r w:rsidR="009C7900">
        <w:rPr>
          <w:rFonts w:ascii="Tahoma" w:hAnsi="Tahoma" w:cs="Tahoma"/>
        </w:rPr>
        <w:t>113.22</w:t>
      </w:r>
      <w:r w:rsidR="005E0F2D">
        <w:rPr>
          <w:rFonts w:ascii="Tahoma" w:hAnsi="Tahoma" w:cs="Tahoma"/>
        </w:rPr>
        <w:t xml:space="preserve">%, Acreedores el </w:t>
      </w:r>
      <w:r w:rsidR="009C7900">
        <w:rPr>
          <w:rFonts w:ascii="Tahoma" w:hAnsi="Tahoma" w:cs="Tahoma"/>
        </w:rPr>
        <w:t>22</w:t>
      </w:r>
      <w:r w:rsidR="005E0F2D">
        <w:rPr>
          <w:rFonts w:ascii="Tahoma" w:hAnsi="Tahoma" w:cs="Tahoma"/>
        </w:rPr>
        <w:t xml:space="preserve">% y la Retención en la fuente e Impuesto de Timbre el </w:t>
      </w:r>
      <w:r w:rsidR="009C7900">
        <w:rPr>
          <w:rFonts w:ascii="Tahoma" w:hAnsi="Tahoma" w:cs="Tahoma"/>
        </w:rPr>
        <w:t>103.10</w:t>
      </w:r>
      <w:r w:rsidR="005E0F2D">
        <w:rPr>
          <w:rFonts w:ascii="Tahoma" w:hAnsi="Tahoma" w:cs="Tahoma"/>
        </w:rPr>
        <w:t>%.</w:t>
      </w:r>
    </w:p>
    <w:p w:rsidR="005E0F2D" w:rsidRDefault="005E0F2D" w:rsidP="00481C55">
      <w:pPr>
        <w:spacing w:before="0" w:after="0"/>
        <w:jc w:val="both"/>
        <w:rPr>
          <w:rFonts w:ascii="Tahoma" w:hAnsi="Tahoma" w:cs="Tahoma"/>
        </w:rPr>
      </w:pPr>
    </w:p>
    <w:p w:rsidR="005E0F2D" w:rsidRDefault="005E0F2D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Finalmente, el Patrimonio para el 2015 </w:t>
      </w:r>
      <w:r w:rsidR="009C7900">
        <w:rPr>
          <w:rFonts w:ascii="Tahoma" w:hAnsi="Tahoma" w:cs="Tahoma"/>
        </w:rPr>
        <w:t>disminuyo</w:t>
      </w:r>
      <w:r>
        <w:rPr>
          <w:rFonts w:ascii="Tahoma" w:hAnsi="Tahoma" w:cs="Tahoma"/>
        </w:rPr>
        <w:t xml:space="preserve"> en el </w:t>
      </w:r>
      <w:r w:rsidR="009C7900">
        <w:rPr>
          <w:rFonts w:ascii="Tahoma" w:hAnsi="Tahoma" w:cs="Tahoma"/>
        </w:rPr>
        <w:t>19.92</w:t>
      </w:r>
      <w:r>
        <w:rPr>
          <w:rFonts w:ascii="Tahoma" w:hAnsi="Tahoma" w:cs="Tahoma"/>
        </w:rPr>
        <w:t xml:space="preserve">%, como consecuencia principalmente del incremento de la </w:t>
      </w:r>
      <w:r w:rsidR="009C7900">
        <w:rPr>
          <w:rFonts w:ascii="Tahoma" w:hAnsi="Tahoma" w:cs="Tahoma"/>
        </w:rPr>
        <w:t xml:space="preserve">Provisiones, Depreciaciones y Amortizaciones (DB), la cual con respecto el 2014 creció en el 100%, la </w:t>
      </w:r>
      <w:r>
        <w:rPr>
          <w:rFonts w:ascii="Tahoma" w:hAnsi="Tahoma" w:cs="Tahoma"/>
        </w:rPr>
        <w:t>cuentas Resultados del Ejercicio</w:t>
      </w:r>
      <w:r w:rsidR="009C7900">
        <w:rPr>
          <w:rFonts w:ascii="Tahoma" w:hAnsi="Tahoma" w:cs="Tahoma"/>
        </w:rPr>
        <w:t xml:space="preserve"> también refleja una disminución del 94.39%</w:t>
      </w:r>
      <w:r w:rsidR="005D7093">
        <w:rPr>
          <w:rFonts w:ascii="Tahoma" w:hAnsi="Tahoma" w:cs="Tahoma"/>
        </w:rPr>
        <w:t>.</w:t>
      </w:r>
    </w:p>
    <w:p w:rsidR="009C7900" w:rsidRDefault="009C7900" w:rsidP="00481C55">
      <w:pPr>
        <w:spacing w:before="0" w:after="0"/>
        <w:jc w:val="both"/>
        <w:rPr>
          <w:rFonts w:ascii="Tahoma" w:hAnsi="Tahoma" w:cs="Tahoma"/>
        </w:rPr>
      </w:pPr>
    </w:p>
    <w:p w:rsidR="009C7900" w:rsidRDefault="009C7900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0CF44441">
            <wp:extent cx="5346700" cy="2314575"/>
            <wp:effectExtent l="0" t="0" r="635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2314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5D7D" w:rsidRPr="006467C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lastRenderedPageBreak/>
        <w:t xml:space="preserve">ESTADO DE ACTIVIDAD </w:t>
      </w:r>
      <w:r w:rsidR="005D7093">
        <w:rPr>
          <w:rFonts w:ascii="Tahoma" w:hAnsi="Tahoma" w:cs="Tahoma"/>
          <w:b/>
        </w:rPr>
        <w:t>FINANCIERA, ECONÓMICA, SOCIAL</w:t>
      </w:r>
    </w:p>
    <w:p w:rsidR="006467CD" w:rsidRDefault="006467CD" w:rsidP="009E50DF">
      <w:pPr>
        <w:spacing w:before="0" w:after="0"/>
        <w:rPr>
          <w:b/>
        </w:rPr>
      </w:pPr>
    </w:p>
    <w:tbl>
      <w:tblPr>
        <w:tblW w:w="92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1460"/>
        <w:gridCol w:w="1420"/>
        <w:gridCol w:w="1360"/>
        <w:gridCol w:w="1340"/>
      </w:tblGrid>
      <w:tr w:rsidR="006E1A77" w:rsidRPr="006E1A77" w:rsidTr="006E1A77">
        <w:trPr>
          <w:trHeight w:val="300"/>
        </w:trPr>
        <w:tc>
          <w:tcPr>
            <w:tcW w:w="9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6E1A77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Hospital Departamental Reina Sofía de España E.S.E - Lérida </w:t>
            </w:r>
          </w:p>
        </w:tc>
      </w:tr>
      <w:tr w:rsidR="006E1A77" w:rsidRPr="006E1A77" w:rsidTr="006E1A77">
        <w:trPr>
          <w:trHeight w:val="300"/>
        </w:trPr>
        <w:tc>
          <w:tcPr>
            <w:tcW w:w="9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 xml:space="preserve">Estado de Actividad Financiera, </w:t>
            </w:r>
            <w:proofErr w:type="spellStart"/>
            <w:r w:rsidRPr="006E1A77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Economica</w:t>
            </w:r>
            <w:proofErr w:type="spellEnd"/>
            <w:r w:rsidRPr="006E1A77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 xml:space="preserve"> y Social Comparativo 2015 -2014</w:t>
            </w:r>
          </w:p>
        </w:tc>
      </w:tr>
      <w:tr w:rsidR="006E1A77" w:rsidRPr="006E1A77" w:rsidTr="006E1A77">
        <w:trPr>
          <w:trHeight w:val="27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6E1A77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6E1A77" w:rsidRPr="006E1A77" w:rsidTr="006E1A77">
        <w:trPr>
          <w:trHeight w:val="525"/>
        </w:trPr>
        <w:tc>
          <w:tcPr>
            <w:tcW w:w="36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E1A7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E1A7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-2015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E1A7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E1A7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E1A7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10.894.705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9.771.859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1.122.846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11,49%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VENTA DE SERVICIOS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9.851.988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9.371.831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480.157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5,12%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9.851.988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9.371.831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480.157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5,12%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1.042.717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400.028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642.689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160,66%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1.008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3500,00%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1.041.709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400.000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641.709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160,43%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8.359.835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4.033.589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4.326.246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107,26%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6.925.268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3.111.480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3.813.788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122,57%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392.338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346.585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45.753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13,20%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17.638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45.744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-28.106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-61,44%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69.656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83.341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-13.685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-16,42%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16.341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13.893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2.448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17,62%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6.407.581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2.600.607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3.806.974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146,39%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21.714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21.310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1,90%</w:t>
            </w:r>
          </w:p>
        </w:tc>
      </w:tr>
      <w:tr w:rsidR="006E1A77" w:rsidRPr="006E1A77" w:rsidTr="006E1A77">
        <w:trPr>
          <w:trHeight w:val="45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DEPRECIACIONES Y AMORTIZACIONES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1.333.184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893.381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439.803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49,23%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DEUDORES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714.458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398.912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315.546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79,10%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70.000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30.000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42,86%</w:t>
            </w:r>
          </w:p>
        </w:tc>
      </w:tr>
      <w:tr w:rsidR="006E1A77" w:rsidRPr="006E1A77" w:rsidTr="006E1A77">
        <w:trPr>
          <w:trHeight w:val="45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DE PROPIEDADES, PLANTA Y EQUIPO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518.726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424.469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94.257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22,21%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101.383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28.728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72.655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252,91%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16.083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24.929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-8.846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-35,48%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ORDINARIOS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85.300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3.799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81.501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2145,33%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COSTOS DE VENTAS Y OPERACIÓN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2.525.449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5.570.404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-3.044.955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-54,66%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COSTO DE VENTAS DE SERVICIOS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2.525.449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5.570.404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-3.044.955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-54,66%</w:t>
            </w:r>
          </w:p>
        </w:tc>
      </w:tr>
      <w:tr w:rsidR="006E1A77" w:rsidRPr="006E1A77" w:rsidTr="006E1A77">
        <w:trPr>
          <w:trHeight w:val="255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2.525.449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5.570.404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-3.044.955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A77" w:rsidRPr="006E1A77" w:rsidRDefault="006E1A77" w:rsidP="006E1A7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E1A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-54,66%</w:t>
            </w:r>
          </w:p>
        </w:tc>
      </w:tr>
    </w:tbl>
    <w:p w:rsidR="005D7093" w:rsidRDefault="005D7093" w:rsidP="009E50DF">
      <w:pPr>
        <w:spacing w:before="0" w:after="0"/>
        <w:rPr>
          <w:b/>
        </w:rPr>
      </w:pPr>
    </w:p>
    <w:p w:rsidR="005D7093" w:rsidRPr="007845CA" w:rsidRDefault="005D7093" w:rsidP="009E50DF">
      <w:pPr>
        <w:spacing w:before="0" w:after="0"/>
        <w:rPr>
          <w:b/>
        </w:rPr>
      </w:pPr>
    </w:p>
    <w:p w:rsidR="009E7743" w:rsidRDefault="005A4B63" w:rsidP="00CF1EAB">
      <w:pPr>
        <w:spacing w:before="0" w:after="0"/>
        <w:jc w:val="both"/>
      </w:pPr>
      <w:r>
        <w:t xml:space="preserve">En el Estado de Actividad Financiera, el hospital </w:t>
      </w:r>
      <w:r w:rsidR="006E1A77">
        <w:t>Reina Sofía de España</w:t>
      </w:r>
      <w:r w:rsidR="009E7743">
        <w:t xml:space="preserve"> refleja un aumento del </w:t>
      </w:r>
      <w:r w:rsidR="006E1A77">
        <w:t>11.49</w:t>
      </w:r>
      <w:r w:rsidR="009E7743">
        <w:t xml:space="preserve">% en sus Ingresos, de allí que los Ingresos por Servicios de Salud crecieron el </w:t>
      </w:r>
      <w:r w:rsidR="006E1A77">
        <w:t>5.12</w:t>
      </w:r>
      <w:r w:rsidR="009E7743">
        <w:t>% al pasar de un saldo en el 2014 por la suma de $</w:t>
      </w:r>
      <w:r w:rsidR="006E1A77">
        <w:t>9.371.831</w:t>
      </w:r>
      <w:r w:rsidR="009E7743">
        <w:t xml:space="preserve"> miles de pesos, a un saldo en el 2015 por la suma de $</w:t>
      </w:r>
      <w:r w:rsidR="00C54E28">
        <w:t>9.851.988</w:t>
      </w:r>
      <w:r w:rsidR="009E7743">
        <w:t xml:space="preserve"> miles de pesos.</w:t>
      </w:r>
    </w:p>
    <w:p w:rsidR="009E7743" w:rsidRDefault="009E7743" w:rsidP="00CF1EAB">
      <w:pPr>
        <w:spacing w:before="0" w:after="0"/>
        <w:jc w:val="both"/>
      </w:pPr>
    </w:p>
    <w:p w:rsidR="00855BA6" w:rsidRDefault="00C54E28" w:rsidP="00CF1EAB">
      <w:pPr>
        <w:spacing w:before="0" w:after="0"/>
        <w:jc w:val="both"/>
      </w:pPr>
      <w:r>
        <w:lastRenderedPageBreak/>
        <w:t>Sin embargo, l</w:t>
      </w:r>
      <w:r w:rsidR="009E7743">
        <w:t>a cuenta Otros Ingresos</w:t>
      </w:r>
      <w:r>
        <w:t xml:space="preserve"> fue la de mayor incremento con</w:t>
      </w:r>
      <w:r w:rsidR="009E7743">
        <w:t xml:space="preserve"> el </w:t>
      </w:r>
      <w:r>
        <w:t>160.66</w:t>
      </w:r>
      <w:r w:rsidR="009E7743">
        <w:t>%</w:t>
      </w:r>
      <w:r w:rsidR="0051593E">
        <w:t xml:space="preserve"> es decir la suma de $</w:t>
      </w:r>
      <w:r>
        <w:t>642.689</w:t>
      </w:r>
      <w:r w:rsidR="0051593E">
        <w:t xml:space="preserve"> miles de pesos</w:t>
      </w:r>
      <w:r>
        <w:t>, comparado con lo registrado en el 2014</w:t>
      </w:r>
      <w:r w:rsidR="0051593E">
        <w:t>.</w:t>
      </w:r>
    </w:p>
    <w:p w:rsidR="00855BA6" w:rsidRDefault="00855BA6" w:rsidP="00CF1EAB">
      <w:pPr>
        <w:spacing w:before="0" w:after="0"/>
        <w:jc w:val="both"/>
      </w:pPr>
    </w:p>
    <w:p w:rsidR="009E50DF" w:rsidRDefault="00855BA6" w:rsidP="00CF1EAB">
      <w:pPr>
        <w:spacing w:before="0" w:after="0"/>
        <w:jc w:val="both"/>
      </w:pPr>
      <w:r>
        <w:t xml:space="preserve">Ahora bien, los Gastos también crecieron el </w:t>
      </w:r>
      <w:r w:rsidR="00C54E28">
        <w:t>107.26</w:t>
      </w:r>
      <w:r>
        <w:t>% es decir la suma de $</w:t>
      </w:r>
      <w:r w:rsidR="00C54E28">
        <w:t>4.326.246</w:t>
      </w:r>
      <w:r>
        <w:t xml:space="preserve"> miles de pesos, dentro de estos los Gastos de Administración se elevaron el </w:t>
      </w:r>
      <w:r w:rsidR="00C54E28">
        <w:t>122.57</w:t>
      </w:r>
      <w:r>
        <w:t xml:space="preserve">%, </w:t>
      </w:r>
      <w:r w:rsidR="00C54E28">
        <w:t>y los Gastos Generales el 146.39%, fueron las cuentas que ocasionaron el considerable aumento del grupo de los gastos</w:t>
      </w:r>
    </w:p>
    <w:p w:rsidR="00855BA6" w:rsidRDefault="00855BA6" w:rsidP="00CF1EAB">
      <w:pPr>
        <w:spacing w:before="0" w:after="0"/>
        <w:jc w:val="both"/>
      </w:pPr>
    </w:p>
    <w:p w:rsidR="00855BA6" w:rsidRDefault="00C54E28" w:rsidP="00CF1EAB">
      <w:pPr>
        <w:spacing w:before="0" w:after="0"/>
        <w:jc w:val="both"/>
      </w:pPr>
      <w:r>
        <w:t>Los gastos por Provisiones, Depreciaciones y Amortizaciones, igual crecieron a una tasa del 49,23%, aumentando de esta forma el saldo de los gastos totales en la suma de $439.803 miles de pesos, para la vigencia 2015.</w:t>
      </w:r>
    </w:p>
    <w:p w:rsidR="00700D52" w:rsidRDefault="00700D52" w:rsidP="00CF1EAB">
      <w:pPr>
        <w:spacing w:before="0" w:after="0"/>
        <w:jc w:val="both"/>
      </w:pPr>
    </w:p>
    <w:p w:rsidR="00700D52" w:rsidRDefault="00700D52" w:rsidP="00CF1EAB">
      <w:pPr>
        <w:spacing w:before="0" w:after="0"/>
        <w:jc w:val="both"/>
      </w:pPr>
      <w:r>
        <w:t xml:space="preserve">Finalmente, los Costos de Venta y Operación que tienen relación directa con los ingresos por venta de servicios, </w:t>
      </w:r>
      <w:r w:rsidR="00C54E28">
        <w:t xml:space="preserve">disminuyeron </w:t>
      </w:r>
      <w:r>
        <w:t xml:space="preserve">el </w:t>
      </w:r>
      <w:r w:rsidR="00C54E28">
        <w:t>54.66%</w:t>
      </w:r>
      <w:r>
        <w:t>, es decir la suma de $</w:t>
      </w:r>
      <w:r w:rsidR="00C54E28">
        <w:t>3.044.955</w:t>
      </w:r>
      <w:r>
        <w:t xml:space="preserve"> miles de pesos, del 2014 al 2015.</w:t>
      </w:r>
    </w:p>
    <w:p w:rsidR="00505A2E" w:rsidRDefault="00505A2E" w:rsidP="00CF1EAB">
      <w:pPr>
        <w:spacing w:before="0" w:after="0"/>
        <w:jc w:val="both"/>
      </w:pPr>
    </w:p>
    <w:p w:rsidR="00700D52" w:rsidRDefault="00700D52" w:rsidP="00CF1EAB">
      <w:pPr>
        <w:spacing w:before="0" w:after="0"/>
        <w:jc w:val="both"/>
      </w:pPr>
    </w:p>
    <w:p w:rsidR="00700D52" w:rsidRDefault="00505A2E" w:rsidP="00CF1EAB">
      <w:pPr>
        <w:spacing w:before="0" w:after="0"/>
        <w:jc w:val="both"/>
      </w:pPr>
      <w:r>
        <w:rPr>
          <w:noProof/>
        </w:rPr>
        <w:drawing>
          <wp:inline distT="0" distB="0" distL="0" distR="0" wp14:anchorId="362CE759">
            <wp:extent cx="5309870" cy="3377565"/>
            <wp:effectExtent l="0" t="0" r="508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5A2E" w:rsidRDefault="00505A2E" w:rsidP="00CF1EAB">
      <w:pPr>
        <w:spacing w:before="0" w:after="0"/>
        <w:jc w:val="both"/>
      </w:pPr>
    </w:p>
    <w:p w:rsidR="00505A2E" w:rsidRDefault="00505A2E" w:rsidP="00CF1EAB">
      <w:pPr>
        <w:spacing w:before="0" w:after="0"/>
        <w:jc w:val="both"/>
      </w:pPr>
    </w:p>
    <w:p w:rsidR="00505A2E" w:rsidRDefault="00505A2E" w:rsidP="00CF1EAB">
      <w:pPr>
        <w:spacing w:before="0" w:after="0"/>
        <w:jc w:val="both"/>
      </w:pPr>
    </w:p>
    <w:p w:rsidR="00505A2E" w:rsidRDefault="00505A2E" w:rsidP="00CF1EAB">
      <w:pPr>
        <w:spacing w:before="0" w:after="0"/>
        <w:jc w:val="both"/>
      </w:pPr>
    </w:p>
    <w:p w:rsidR="00505A2E" w:rsidRDefault="00505A2E" w:rsidP="00CF1EAB">
      <w:pPr>
        <w:spacing w:before="0" w:after="0"/>
        <w:jc w:val="both"/>
      </w:pPr>
    </w:p>
    <w:p w:rsidR="00BC5D7D" w:rsidRPr="00B45090" w:rsidRDefault="00814D3D" w:rsidP="00280151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B45090">
        <w:rPr>
          <w:rFonts w:ascii="Tahoma" w:hAnsi="Tahoma" w:cs="Tahoma"/>
          <w:b/>
        </w:rPr>
        <w:lastRenderedPageBreak/>
        <w:t>APLICACIÓN DE INDICADORES FINANCIEROS</w:t>
      </w:r>
    </w:p>
    <w:p w:rsidR="00814D3D" w:rsidRDefault="00814D3D" w:rsidP="00280151">
      <w:pPr>
        <w:spacing w:before="0" w:after="0"/>
        <w:rPr>
          <w:rFonts w:ascii="Tahoma" w:hAnsi="Tahoma" w:cs="Tahoma"/>
        </w:rPr>
      </w:pPr>
    </w:p>
    <w:p w:rsidR="00814D3D" w:rsidRPr="00814D3D" w:rsidRDefault="00814D3D" w:rsidP="00280151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280151">
      <w:pPr>
        <w:spacing w:before="0" w:after="0"/>
        <w:rPr>
          <w:rFonts w:ascii="Tahoma" w:hAnsi="Tahoma" w:cs="Tahoma"/>
        </w:rPr>
      </w:pPr>
    </w:p>
    <w:p w:rsidR="00814D3D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28015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$</w:t>
      </w:r>
      <w:r w:rsidR="00280151">
        <w:rPr>
          <w:rFonts w:ascii="Tahoma" w:hAnsi="Tahoma" w:cs="Tahoma"/>
        </w:rPr>
        <w:t xml:space="preserve">    </w:t>
      </w:r>
      <w:r w:rsidR="00764E89">
        <w:rPr>
          <w:rFonts w:ascii="Tahoma" w:hAnsi="Tahoma" w:cs="Tahoma"/>
        </w:rPr>
        <w:t>255.123</w:t>
      </w:r>
    </w:p>
    <w:p w:rsidR="00E82DF4" w:rsidRDefault="00764E89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Inversiones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13.211</w:t>
      </w:r>
    </w:p>
    <w:p w:rsidR="001666F5" w:rsidRPr="00814D3D" w:rsidRDefault="001666F5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280151">
        <w:rPr>
          <w:rFonts w:ascii="Tahoma" w:hAnsi="Tahoma" w:cs="Tahoma"/>
        </w:rPr>
        <w:t xml:space="preserve">  </w:t>
      </w:r>
      <w:r w:rsidR="00E82DF4">
        <w:rPr>
          <w:rFonts w:ascii="Tahoma" w:hAnsi="Tahoma" w:cs="Tahoma"/>
        </w:rPr>
        <w:t xml:space="preserve">  </w:t>
      </w:r>
      <w:r w:rsidR="00764E89">
        <w:rPr>
          <w:rFonts w:ascii="Tahoma" w:hAnsi="Tahoma" w:cs="Tahoma"/>
        </w:rPr>
        <w:t xml:space="preserve"> 5.401.334</w:t>
      </w:r>
    </w:p>
    <w:p w:rsidR="00BC5D7D" w:rsidRDefault="001666F5" w:rsidP="00280151">
      <w:pPr>
        <w:spacing w:before="0" w:after="0"/>
      </w:pPr>
      <w:r>
        <w:t>Inventarios</w:t>
      </w:r>
      <w:r>
        <w:tab/>
      </w:r>
      <w:r>
        <w:tab/>
        <w:t xml:space="preserve">   </w:t>
      </w:r>
      <w:r w:rsidR="00CD726A">
        <w:t xml:space="preserve">  </w:t>
      </w:r>
      <w:r w:rsidR="00E82DF4">
        <w:t xml:space="preserve">     </w:t>
      </w:r>
      <w:r w:rsidR="00764E89">
        <w:t xml:space="preserve"> 34.715</w:t>
      </w:r>
    </w:p>
    <w:p w:rsidR="001666F5" w:rsidRDefault="001666F5" w:rsidP="00280151">
      <w:pPr>
        <w:spacing w:before="0" w:after="0"/>
      </w:pPr>
      <w:r>
        <w:tab/>
      </w:r>
      <w:r>
        <w:tab/>
      </w:r>
      <w:r>
        <w:tab/>
      </w:r>
      <w:r w:rsidR="00280151">
        <w:t xml:space="preserve">  </w:t>
      </w:r>
      <w:r w:rsidR="00E82DF4">
        <w:t xml:space="preserve">    </w:t>
      </w:r>
      <w:r>
        <w:t>----------------</w:t>
      </w:r>
    </w:p>
    <w:p w:rsidR="001666F5" w:rsidRDefault="001666F5" w:rsidP="00280151">
      <w:pPr>
        <w:spacing w:before="0" w:after="0"/>
      </w:pPr>
      <w:r>
        <w:tab/>
      </w:r>
      <w:r>
        <w:tab/>
      </w:r>
      <w:r>
        <w:tab/>
      </w:r>
      <w:r w:rsidR="00280151">
        <w:t xml:space="preserve">  </w:t>
      </w:r>
      <w:r>
        <w:t>$</w:t>
      </w:r>
      <w:r w:rsidR="00E82DF4">
        <w:t xml:space="preserve">  </w:t>
      </w:r>
      <w:r w:rsidR="005305C4">
        <w:t>5.</w:t>
      </w:r>
      <w:r w:rsidR="00764E89">
        <w:t>704.383</w:t>
      </w:r>
    </w:p>
    <w:p w:rsidR="001666F5" w:rsidRDefault="001666F5" w:rsidP="00280151">
      <w:pPr>
        <w:spacing w:before="0" w:after="0"/>
      </w:pP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Pasivo Corriente:</w:t>
      </w: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Cuentas por Pagar</w:t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  <w:t xml:space="preserve">  </w:t>
      </w:r>
      <w:r w:rsidR="00CD726A" w:rsidRPr="00B45090">
        <w:rPr>
          <w:rFonts w:ascii="Tahoma" w:hAnsi="Tahoma" w:cs="Tahoma"/>
        </w:rPr>
        <w:t>$</w:t>
      </w:r>
      <w:r w:rsidR="00764E89">
        <w:rPr>
          <w:rFonts w:ascii="Tahoma" w:hAnsi="Tahoma" w:cs="Tahoma"/>
        </w:rPr>
        <w:t>6.168.081</w:t>
      </w:r>
    </w:p>
    <w:p w:rsidR="001666F5" w:rsidRDefault="00764E89" w:rsidP="00280151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Obligaciones Laborales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65.743</w:t>
      </w:r>
    </w:p>
    <w:p w:rsidR="00764E89" w:rsidRDefault="00764E89" w:rsidP="00280151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---------------</w:t>
      </w:r>
    </w:p>
    <w:p w:rsidR="00764E89" w:rsidRDefault="00764E89" w:rsidP="00280151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$6.174.654</w:t>
      </w:r>
    </w:p>
    <w:p w:rsidR="00764E89" w:rsidRPr="00B45090" w:rsidRDefault="00764E89" w:rsidP="00280151">
      <w:pPr>
        <w:spacing w:before="0" w:after="0"/>
        <w:rPr>
          <w:rFonts w:ascii="Tahoma" w:hAnsi="Tahoma" w:cs="Tahoma"/>
        </w:rPr>
      </w:pPr>
    </w:p>
    <w:p w:rsidR="00E82DF4" w:rsidRDefault="001666F5" w:rsidP="00E82DF4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Razón Corriente  $</w:t>
      </w:r>
      <w:r w:rsidR="00764E89">
        <w:rPr>
          <w:rFonts w:ascii="Tahoma" w:hAnsi="Tahoma" w:cs="Tahoma"/>
        </w:rPr>
        <w:t>5.704.383</w:t>
      </w:r>
      <w:r w:rsidR="00AB694A">
        <w:rPr>
          <w:rFonts w:ascii="Tahoma" w:hAnsi="Tahoma" w:cs="Tahoma"/>
        </w:rPr>
        <w:t xml:space="preserve"> </w:t>
      </w:r>
      <w:r w:rsidRPr="00B45090">
        <w:rPr>
          <w:rFonts w:ascii="Tahoma" w:hAnsi="Tahoma" w:cs="Tahoma"/>
        </w:rPr>
        <w:t>/ $</w:t>
      </w:r>
      <w:r w:rsidR="00764E89">
        <w:rPr>
          <w:rFonts w:ascii="Tahoma" w:hAnsi="Tahoma" w:cs="Tahoma"/>
        </w:rPr>
        <w:t>6.174.654</w:t>
      </w:r>
      <w:r w:rsidRPr="00B45090">
        <w:rPr>
          <w:rFonts w:ascii="Tahoma" w:hAnsi="Tahoma" w:cs="Tahoma"/>
        </w:rPr>
        <w:t xml:space="preserve"> = </w:t>
      </w:r>
      <w:r w:rsidR="00764E89">
        <w:rPr>
          <w:rFonts w:ascii="Tahoma" w:hAnsi="Tahoma" w:cs="Tahoma"/>
        </w:rPr>
        <w:t>0,92</w:t>
      </w:r>
    </w:p>
    <w:p w:rsidR="003222EC" w:rsidRDefault="003222EC" w:rsidP="00E82DF4">
      <w:pPr>
        <w:spacing w:before="0" w:after="0"/>
        <w:rPr>
          <w:rFonts w:ascii="Tahoma" w:hAnsi="Tahoma" w:cs="Tahoma"/>
        </w:rPr>
      </w:pPr>
    </w:p>
    <w:p w:rsidR="00A7456E" w:rsidRPr="00B45090" w:rsidRDefault="00A7456E" w:rsidP="00E82DF4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anterior resultado nos muestra que por cada peso que </w:t>
      </w:r>
      <w:r w:rsidR="00CD726A" w:rsidRPr="00B45090">
        <w:rPr>
          <w:rFonts w:ascii="Tahoma" w:hAnsi="Tahoma" w:cs="Tahoma"/>
        </w:rPr>
        <w:t>e</w:t>
      </w:r>
      <w:r w:rsidRPr="00B45090">
        <w:rPr>
          <w:rFonts w:ascii="Tahoma" w:hAnsi="Tahoma" w:cs="Tahoma"/>
        </w:rPr>
        <w:t>l</w:t>
      </w:r>
      <w:r w:rsidR="00CD726A" w:rsidRPr="00B45090">
        <w:rPr>
          <w:rFonts w:ascii="Tahoma" w:hAnsi="Tahoma" w:cs="Tahoma"/>
        </w:rPr>
        <w:t xml:space="preserve"> Hospital </w:t>
      </w:r>
      <w:r w:rsidR="00280151">
        <w:rPr>
          <w:rFonts w:ascii="Tahoma" w:hAnsi="Tahoma" w:cs="Tahoma"/>
        </w:rPr>
        <w:t xml:space="preserve">Dptal </w:t>
      </w:r>
      <w:r w:rsidR="00764E89">
        <w:rPr>
          <w:rFonts w:ascii="Tahoma" w:hAnsi="Tahoma" w:cs="Tahoma"/>
        </w:rPr>
        <w:t>Reina Sofía de España</w:t>
      </w:r>
      <w:r w:rsidR="00AB694A">
        <w:rPr>
          <w:rFonts w:ascii="Tahoma" w:hAnsi="Tahoma" w:cs="Tahoma"/>
        </w:rPr>
        <w:t xml:space="preserve"> del municipio de Lérida </w:t>
      </w:r>
      <w:r w:rsidRPr="00B45090">
        <w:rPr>
          <w:rFonts w:ascii="Tahoma" w:hAnsi="Tahoma" w:cs="Tahoma"/>
        </w:rPr>
        <w:t xml:space="preserve">debe a corto plazo, cuenta con </w:t>
      </w:r>
      <w:r w:rsidR="00764E89">
        <w:rPr>
          <w:rFonts w:ascii="Tahoma" w:hAnsi="Tahoma" w:cs="Tahoma"/>
        </w:rPr>
        <w:t>0,92</w:t>
      </w:r>
      <w:r w:rsidRPr="00B45090">
        <w:rPr>
          <w:rFonts w:ascii="Tahoma" w:hAnsi="Tahoma" w:cs="Tahoma"/>
        </w:rPr>
        <w:t xml:space="preserve"> pesos en activos corriente para cubrirlos, lo que significa que el mencionado </w:t>
      </w:r>
      <w:r w:rsidR="00CD726A" w:rsidRPr="00B45090">
        <w:rPr>
          <w:rFonts w:ascii="Tahoma" w:hAnsi="Tahoma" w:cs="Tahoma"/>
        </w:rPr>
        <w:t>Hospital</w:t>
      </w:r>
      <w:r w:rsidRPr="00B45090">
        <w:rPr>
          <w:rFonts w:ascii="Tahoma" w:hAnsi="Tahoma" w:cs="Tahoma"/>
        </w:rPr>
        <w:t xml:space="preserve"> </w:t>
      </w:r>
      <w:r w:rsidR="00764E89">
        <w:rPr>
          <w:rFonts w:ascii="Tahoma" w:hAnsi="Tahoma" w:cs="Tahoma"/>
        </w:rPr>
        <w:t>no cuenta con recursos</w:t>
      </w:r>
      <w:r w:rsidRPr="00B45090">
        <w:rPr>
          <w:rFonts w:ascii="Tahoma" w:hAnsi="Tahoma" w:cs="Tahoma"/>
        </w:rPr>
        <w:t xml:space="preserve"> suficiente para cubrir sus pasivos </w:t>
      </w:r>
      <w:r w:rsidR="00CD726A" w:rsidRPr="002B7E6A">
        <w:rPr>
          <w:rFonts w:ascii="Tahoma" w:hAnsi="Tahoma" w:cs="Tahoma"/>
        </w:rPr>
        <w:t>a</w:t>
      </w:r>
      <w:r w:rsidRPr="002B7E6A">
        <w:rPr>
          <w:rFonts w:ascii="Tahoma" w:hAnsi="Tahoma" w:cs="Tahoma"/>
        </w:rPr>
        <w:t xml:space="preserve"> corto plazo</w:t>
      </w:r>
      <w:r w:rsidRPr="00B45090">
        <w:rPr>
          <w:rFonts w:ascii="Tahoma" w:hAnsi="Tahoma" w:cs="Tahoma"/>
        </w:rPr>
        <w:t>.</w:t>
      </w:r>
    </w:p>
    <w:p w:rsidR="00E82DF4" w:rsidRPr="00B45090" w:rsidRDefault="00E82DF4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CAPITAL NETO DE TRABAJO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Formula: Activo Corriente – Pasivo Corriente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2B7E6A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$</w:t>
      </w:r>
      <w:r w:rsidR="00764E89" w:rsidRPr="00B45090">
        <w:rPr>
          <w:rFonts w:ascii="Tahoma" w:hAnsi="Tahoma" w:cs="Tahoma"/>
        </w:rPr>
        <w:t>$</w:t>
      </w:r>
      <w:r w:rsidR="00764E89">
        <w:rPr>
          <w:rFonts w:ascii="Tahoma" w:hAnsi="Tahoma" w:cs="Tahoma"/>
        </w:rPr>
        <w:t>5.704.383 -</w:t>
      </w:r>
      <w:r w:rsidR="00764E89" w:rsidRPr="00B45090">
        <w:rPr>
          <w:rFonts w:ascii="Tahoma" w:hAnsi="Tahoma" w:cs="Tahoma"/>
        </w:rPr>
        <w:t xml:space="preserve"> $</w:t>
      </w:r>
      <w:r w:rsidR="00764E89">
        <w:rPr>
          <w:rFonts w:ascii="Tahoma" w:hAnsi="Tahoma" w:cs="Tahoma"/>
        </w:rPr>
        <w:t>6.174.654</w:t>
      </w:r>
      <w:r w:rsidR="00CD726A" w:rsidRPr="00B45090">
        <w:rPr>
          <w:rFonts w:ascii="Tahoma" w:hAnsi="Tahoma" w:cs="Tahoma"/>
        </w:rPr>
        <w:t xml:space="preserve"> </w:t>
      </w:r>
      <w:r w:rsidR="00A7456E" w:rsidRPr="00B45090">
        <w:rPr>
          <w:rFonts w:ascii="Tahoma" w:hAnsi="Tahoma" w:cs="Tahoma"/>
        </w:rPr>
        <w:t>= $</w:t>
      </w:r>
      <w:r w:rsidR="00764E89">
        <w:rPr>
          <w:rFonts w:ascii="Tahoma" w:hAnsi="Tahoma" w:cs="Tahoma"/>
        </w:rPr>
        <w:t>-470.271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lastRenderedPageBreak/>
        <w:t xml:space="preserve">El anterior resultado nos indica que el ente </w:t>
      </w:r>
      <w:r w:rsidR="00CD726A" w:rsidRPr="00B45090">
        <w:rPr>
          <w:rFonts w:ascii="Tahoma" w:hAnsi="Tahoma" w:cs="Tahoma"/>
        </w:rPr>
        <w:t>hospitalario</w:t>
      </w:r>
      <w:r w:rsidR="00764E89">
        <w:rPr>
          <w:rFonts w:ascii="Tahoma" w:hAnsi="Tahoma" w:cs="Tahoma"/>
        </w:rPr>
        <w:t xml:space="preserve"> no</w:t>
      </w:r>
      <w:r w:rsidRPr="00B45090">
        <w:rPr>
          <w:rFonts w:ascii="Tahoma" w:hAnsi="Tahoma" w:cs="Tahoma"/>
        </w:rPr>
        <w:t xml:space="preserve"> cuenta con recursos propios para operar.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NIVEL DE ENDEUDAMIENTO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Formula: Pasivo Total con Terceros / Activo Total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CD726A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$</w:t>
      </w:r>
      <w:r w:rsidR="00764E89">
        <w:rPr>
          <w:rFonts w:ascii="Tahoma" w:hAnsi="Tahoma" w:cs="Tahoma"/>
        </w:rPr>
        <w:t>6.199.145</w:t>
      </w:r>
      <w:r w:rsidR="003E25A9" w:rsidRPr="00B45090">
        <w:rPr>
          <w:rFonts w:ascii="Tahoma" w:hAnsi="Tahoma" w:cs="Tahoma"/>
        </w:rPr>
        <w:t xml:space="preserve"> / </w:t>
      </w:r>
      <w:r w:rsidRPr="00B45090">
        <w:rPr>
          <w:rFonts w:ascii="Tahoma" w:hAnsi="Tahoma" w:cs="Tahoma"/>
        </w:rPr>
        <w:t>$</w:t>
      </w:r>
      <w:r w:rsidR="00764E89">
        <w:rPr>
          <w:rFonts w:ascii="Tahoma" w:hAnsi="Tahoma" w:cs="Tahoma"/>
        </w:rPr>
        <w:t>10.893.032</w:t>
      </w:r>
      <w:r w:rsidR="00FA4514">
        <w:rPr>
          <w:rFonts w:ascii="Tahoma" w:hAnsi="Tahoma" w:cs="Tahoma"/>
        </w:rPr>
        <w:t xml:space="preserve"> =</w:t>
      </w:r>
      <w:r w:rsidR="003E25A9" w:rsidRPr="00B45090">
        <w:rPr>
          <w:rFonts w:ascii="Tahoma" w:hAnsi="Tahoma" w:cs="Tahoma"/>
        </w:rPr>
        <w:t xml:space="preserve"> </w:t>
      </w:r>
      <w:r w:rsidR="00764E89">
        <w:rPr>
          <w:rFonts w:ascii="Tahoma" w:hAnsi="Tahoma" w:cs="Tahoma"/>
        </w:rPr>
        <w:t>56.90%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anterior resultado nos indica que del total de activos que posee el </w:t>
      </w:r>
      <w:r w:rsidR="00CD726A" w:rsidRPr="00B45090">
        <w:rPr>
          <w:rFonts w:ascii="Tahoma" w:hAnsi="Tahoma" w:cs="Tahoma"/>
        </w:rPr>
        <w:t>hospital</w:t>
      </w:r>
      <w:r w:rsidRPr="00B45090">
        <w:rPr>
          <w:rFonts w:ascii="Tahoma" w:hAnsi="Tahoma" w:cs="Tahoma"/>
        </w:rPr>
        <w:t xml:space="preserve">, el </w:t>
      </w:r>
      <w:r w:rsidR="00764E89">
        <w:rPr>
          <w:rFonts w:ascii="Tahoma" w:hAnsi="Tahoma" w:cs="Tahoma"/>
        </w:rPr>
        <w:t>56,90</w:t>
      </w:r>
      <w:r w:rsidRPr="00B45090">
        <w:rPr>
          <w:rFonts w:ascii="Tahoma" w:hAnsi="Tahoma" w:cs="Tahoma"/>
        </w:rPr>
        <w:t>% está siendo financiado por los acreedores.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RAZÓN DEL PATRIMONIO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Nos muestra hasta </w:t>
      </w:r>
      <w:r w:rsidR="009F3F48" w:rsidRPr="00B45090">
        <w:rPr>
          <w:rFonts w:ascii="Tahoma" w:hAnsi="Tahoma" w:cs="Tahoma"/>
        </w:rPr>
        <w:t>qué</w:t>
      </w:r>
      <w:r w:rsidRPr="00B45090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Formula: Patrimonio Total / Activo Total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764ABD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$</w:t>
      </w:r>
      <w:r w:rsidR="00764E89">
        <w:rPr>
          <w:rFonts w:ascii="Tahoma" w:hAnsi="Tahoma" w:cs="Tahoma"/>
        </w:rPr>
        <w:t>4.453.383</w:t>
      </w:r>
      <w:r w:rsidR="003E25A9" w:rsidRPr="00B45090">
        <w:rPr>
          <w:rFonts w:ascii="Tahoma" w:hAnsi="Tahoma" w:cs="Tahoma"/>
        </w:rPr>
        <w:t xml:space="preserve"> / </w:t>
      </w:r>
      <w:r w:rsidR="00CD726A" w:rsidRPr="00B45090">
        <w:rPr>
          <w:rFonts w:ascii="Tahoma" w:hAnsi="Tahoma" w:cs="Tahoma"/>
        </w:rPr>
        <w:t>$</w:t>
      </w:r>
      <w:r w:rsidR="00764E89">
        <w:rPr>
          <w:rFonts w:ascii="Tahoma" w:hAnsi="Tahoma" w:cs="Tahoma"/>
        </w:rPr>
        <w:t>10.893.032</w:t>
      </w:r>
      <w:r w:rsidR="00CD726A" w:rsidRPr="00B45090">
        <w:rPr>
          <w:rFonts w:ascii="Tahoma" w:hAnsi="Tahoma" w:cs="Tahoma"/>
        </w:rPr>
        <w:t xml:space="preserve"> </w:t>
      </w:r>
      <w:r w:rsidRPr="00B45090">
        <w:rPr>
          <w:rFonts w:ascii="Tahoma" w:hAnsi="Tahoma" w:cs="Tahoma"/>
        </w:rPr>
        <w:t xml:space="preserve">= </w:t>
      </w:r>
      <w:r w:rsidR="009167DA">
        <w:rPr>
          <w:rFonts w:ascii="Tahoma" w:hAnsi="Tahoma" w:cs="Tahoma"/>
        </w:rPr>
        <w:t>40.88</w:t>
      </w:r>
      <w:r w:rsidRPr="00B45090">
        <w:rPr>
          <w:rFonts w:ascii="Tahoma" w:hAnsi="Tahoma" w:cs="Tahoma"/>
        </w:rPr>
        <w:t>%</w:t>
      </w:r>
    </w:p>
    <w:p w:rsidR="008326D2" w:rsidRPr="00B45090" w:rsidRDefault="008326D2" w:rsidP="00280151">
      <w:pPr>
        <w:spacing w:before="0" w:after="0"/>
        <w:jc w:val="both"/>
        <w:rPr>
          <w:rFonts w:ascii="Tahoma" w:hAnsi="Tahoma" w:cs="Tahoma"/>
        </w:rPr>
      </w:pPr>
    </w:p>
    <w:p w:rsidR="008326D2" w:rsidRPr="00B45090" w:rsidRDefault="008326D2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porcentaje establecido anteriormente nos indica que el </w:t>
      </w:r>
      <w:r w:rsidR="009167DA">
        <w:rPr>
          <w:rFonts w:ascii="Tahoma" w:hAnsi="Tahoma" w:cs="Tahoma"/>
        </w:rPr>
        <w:t>40.88</w:t>
      </w:r>
      <w:r w:rsidRPr="00B45090">
        <w:rPr>
          <w:rFonts w:ascii="Tahoma" w:hAnsi="Tahoma" w:cs="Tahoma"/>
        </w:rPr>
        <w:t>% de los activos, están siendo financiados con capital propio.</w:t>
      </w: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6756E8" w:rsidRPr="00B45090" w:rsidRDefault="006756E8" w:rsidP="00280151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B45090">
        <w:rPr>
          <w:rFonts w:ascii="Tahoma" w:hAnsi="Tahoma" w:cs="Tahoma"/>
          <w:b/>
        </w:rPr>
        <w:t>CONCEPTUALIZACION SOBRE LOS ESTADOS FINANCIEROS 201</w:t>
      </w:r>
      <w:r w:rsidR="00DB5DE5">
        <w:rPr>
          <w:rFonts w:ascii="Tahoma" w:hAnsi="Tahoma" w:cs="Tahoma"/>
          <w:b/>
        </w:rPr>
        <w:t>5</w:t>
      </w: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6756E8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Hospital </w:t>
      </w:r>
      <w:r w:rsidR="00DB5DE5">
        <w:rPr>
          <w:rFonts w:ascii="Tahoma" w:hAnsi="Tahoma" w:cs="Tahoma"/>
        </w:rPr>
        <w:t xml:space="preserve">Dptal </w:t>
      </w:r>
      <w:r w:rsidR="009167DA">
        <w:rPr>
          <w:rFonts w:ascii="Tahoma" w:hAnsi="Tahoma" w:cs="Tahoma"/>
        </w:rPr>
        <w:t xml:space="preserve">Reina </w:t>
      </w:r>
      <w:r w:rsidR="00C90A8E">
        <w:rPr>
          <w:rFonts w:ascii="Tahoma" w:hAnsi="Tahoma" w:cs="Tahoma"/>
        </w:rPr>
        <w:t>Sofía</w:t>
      </w:r>
      <w:r w:rsidR="009167DA">
        <w:rPr>
          <w:rFonts w:ascii="Tahoma" w:hAnsi="Tahoma" w:cs="Tahoma"/>
        </w:rPr>
        <w:t xml:space="preserve"> de España </w:t>
      </w:r>
      <w:r w:rsidR="00A00610">
        <w:rPr>
          <w:rFonts w:ascii="Tahoma" w:hAnsi="Tahoma" w:cs="Tahoma"/>
        </w:rPr>
        <w:t xml:space="preserve"> de Lérida</w:t>
      </w:r>
      <w:r w:rsidRPr="00B45090">
        <w:rPr>
          <w:rFonts w:ascii="Tahoma" w:hAnsi="Tahoma" w:cs="Tahoma"/>
        </w:rPr>
        <w:t>,</w:t>
      </w:r>
      <w:r w:rsidR="006756E8" w:rsidRPr="00B45090">
        <w:rPr>
          <w:rFonts w:ascii="Tahoma" w:hAnsi="Tahoma" w:cs="Tahoma"/>
        </w:rPr>
        <w:t xml:space="preserve"> de acuerdo con su Balance General terminado en la fecha, se observa que sus activos totales crecieron un </w:t>
      </w:r>
      <w:r w:rsidR="009167DA">
        <w:rPr>
          <w:rFonts w:ascii="Tahoma" w:hAnsi="Tahoma" w:cs="Tahoma"/>
        </w:rPr>
        <w:t>7.60</w:t>
      </w:r>
      <w:r w:rsidR="006756E8" w:rsidRPr="00B45090">
        <w:rPr>
          <w:rFonts w:ascii="Tahoma" w:hAnsi="Tahoma" w:cs="Tahoma"/>
        </w:rPr>
        <w:t>% en la suma de $</w:t>
      </w:r>
      <w:r w:rsidR="009167DA">
        <w:rPr>
          <w:rFonts w:ascii="Tahoma" w:hAnsi="Tahoma" w:cs="Tahoma"/>
        </w:rPr>
        <w:t>769.218</w:t>
      </w:r>
      <w:r w:rsidR="006756E8" w:rsidRPr="00B45090">
        <w:rPr>
          <w:rFonts w:ascii="Tahoma" w:hAnsi="Tahoma" w:cs="Tahoma"/>
        </w:rPr>
        <w:t xml:space="preserve"> (mies de $), con relación al periodo 201</w:t>
      </w:r>
      <w:r w:rsidR="00DB5DE5">
        <w:rPr>
          <w:rFonts w:ascii="Tahoma" w:hAnsi="Tahoma" w:cs="Tahoma"/>
        </w:rPr>
        <w:t>4</w:t>
      </w:r>
      <w:r w:rsidR="006756E8" w:rsidRPr="00B45090">
        <w:rPr>
          <w:rFonts w:ascii="Tahoma" w:hAnsi="Tahoma" w:cs="Tahoma"/>
        </w:rPr>
        <w:t>, reflejados en las cuentas</w:t>
      </w:r>
      <w:r w:rsidR="00DB5DE5">
        <w:rPr>
          <w:rFonts w:ascii="Tahoma" w:hAnsi="Tahoma" w:cs="Tahoma"/>
        </w:rPr>
        <w:t xml:space="preserve"> </w:t>
      </w:r>
      <w:r w:rsidR="009167DA">
        <w:rPr>
          <w:rFonts w:ascii="Tahoma" w:hAnsi="Tahoma" w:cs="Tahoma"/>
        </w:rPr>
        <w:t xml:space="preserve">Efectivo, </w:t>
      </w:r>
      <w:r w:rsidR="00DB5DE5">
        <w:rPr>
          <w:rFonts w:ascii="Tahoma" w:hAnsi="Tahoma" w:cs="Tahoma"/>
        </w:rPr>
        <w:t>Deudores</w:t>
      </w:r>
      <w:r w:rsidR="00EA55D0">
        <w:rPr>
          <w:rFonts w:ascii="Tahoma" w:hAnsi="Tahoma" w:cs="Tahoma"/>
        </w:rPr>
        <w:t xml:space="preserve">, </w:t>
      </w:r>
      <w:r w:rsidRPr="00B45090">
        <w:rPr>
          <w:rFonts w:ascii="Tahoma" w:hAnsi="Tahoma" w:cs="Tahoma"/>
        </w:rPr>
        <w:t>y Otros Activos</w:t>
      </w:r>
      <w:r w:rsidR="006756E8" w:rsidRPr="00B45090">
        <w:rPr>
          <w:rFonts w:ascii="Tahoma" w:hAnsi="Tahoma" w:cs="Tahoma"/>
        </w:rPr>
        <w:t>.</w:t>
      </w: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0D2062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Su patrimonio </w:t>
      </w:r>
      <w:r w:rsidR="009167DA">
        <w:rPr>
          <w:rFonts w:ascii="Tahoma" w:hAnsi="Tahoma" w:cs="Tahoma"/>
        </w:rPr>
        <w:t>disminuyo</w:t>
      </w:r>
      <w:r w:rsidR="00E029B6">
        <w:rPr>
          <w:rFonts w:ascii="Tahoma" w:hAnsi="Tahoma" w:cs="Tahoma"/>
        </w:rPr>
        <w:t xml:space="preserve"> en el </w:t>
      </w:r>
      <w:r w:rsidR="009167DA">
        <w:rPr>
          <w:rFonts w:ascii="Tahoma" w:hAnsi="Tahoma" w:cs="Tahoma"/>
        </w:rPr>
        <w:t>19.92</w:t>
      </w:r>
      <w:r w:rsidR="00E029B6">
        <w:rPr>
          <w:rFonts w:ascii="Tahoma" w:hAnsi="Tahoma" w:cs="Tahoma"/>
        </w:rPr>
        <w:t xml:space="preserve">% </w:t>
      </w:r>
      <w:r w:rsidR="00F60B4E" w:rsidRPr="00B45090">
        <w:rPr>
          <w:rFonts w:ascii="Tahoma" w:hAnsi="Tahoma" w:cs="Tahoma"/>
        </w:rPr>
        <w:t>el valor de $</w:t>
      </w:r>
      <w:r w:rsidR="009167DA">
        <w:rPr>
          <w:rFonts w:ascii="Tahoma" w:hAnsi="Tahoma" w:cs="Tahoma"/>
        </w:rPr>
        <w:t>1.107.858</w:t>
      </w:r>
      <w:r w:rsidR="00F60B4E" w:rsidRPr="00B45090">
        <w:rPr>
          <w:rFonts w:ascii="Tahoma" w:hAnsi="Tahoma" w:cs="Tahoma"/>
        </w:rPr>
        <w:t xml:space="preserve"> (miles de $), </w:t>
      </w:r>
      <w:r w:rsidR="009167DA">
        <w:rPr>
          <w:rFonts w:ascii="Tahoma" w:hAnsi="Tahoma" w:cs="Tahoma"/>
        </w:rPr>
        <w:t>como consecuencia principalmente del incremento de la Provisiones, Depreciaciones y Amortizaciones (DB), la cual con respecto el 2014 creció en el 100%, la cuentas Resultados del Ejercicio también refleja una disminución del 94.39%.</w:t>
      </w:r>
    </w:p>
    <w:p w:rsidR="00D226DC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</w:p>
    <w:p w:rsidR="00D226DC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lastRenderedPageBreak/>
        <w:t xml:space="preserve">Su estructura financiera al cierre del periodo contable 2014, estaba representada en el </w:t>
      </w:r>
      <w:r w:rsidR="009167DA">
        <w:rPr>
          <w:rFonts w:ascii="Tahoma" w:hAnsi="Tahoma" w:cs="Tahoma"/>
        </w:rPr>
        <w:t>5</w:t>
      </w:r>
      <w:r w:rsidR="00A00610">
        <w:rPr>
          <w:rFonts w:ascii="Tahoma" w:hAnsi="Tahoma" w:cs="Tahoma"/>
        </w:rPr>
        <w:t>9.</w:t>
      </w:r>
      <w:r w:rsidR="009167DA">
        <w:rPr>
          <w:rFonts w:ascii="Tahoma" w:hAnsi="Tahoma" w:cs="Tahoma"/>
        </w:rPr>
        <w:t>1</w:t>
      </w:r>
      <w:r w:rsidR="00A00610">
        <w:rPr>
          <w:rFonts w:ascii="Tahoma" w:hAnsi="Tahoma" w:cs="Tahoma"/>
        </w:rPr>
        <w:t>2</w:t>
      </w:r>
      <w:r w:rsidRPr="00B45090">
        <w:rPr>
          <w:rFonts w:ascii="Tahoma" w:hAnsi="Tahoma" w:cs="Tahoma"/>
        </w:rPr>
        <w:t xml:space="preserve">% los pasivos y el </w:t>
      </w:r>
      <w:r w:rsidR="009167DA">
        <w:rPr>
          <w:rFonts w:ascii="Tahoma" w:hAnsi="Tahoma" w:cs="Tahoma"/>
        </w:rPr>
        <w:t>40.88</w:t>
      </w:r>
      <w:r w:rsidRPr="00B45090">
        <w:rPr>
          <w:rFonts w:ascii="Tahoma" w:hAnsi="Tahoma" w:cs="Tahoma"/>
        </w:rPr>
        <w:t>% el patrimonio.</w:t>
      </w:r>
    </w:p>
    <w:p w:rsidR="00D226DC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</w:p>
    <w:p w:rsidR="000D2062" w:rsidRPr="00B45090" w:rsidRDefault="000D2062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</w:t>
      </w:r>
      <w:r w:rsidR="00A00610">
        <w:rPr>
          <w:rFonts w:ascii="Tahoma" w:hAnsi="Tahoma" w:cs="Tahoma"/>
        </w:rPr>
        <w:t>H</w:t>
      </w:r>
      <w:r w:rsidR="00D226DC" w:rsidRPr="00B45090">
        <w:rPr>
          <w:rFonts w:ascii="Tahoma" w:hAnsi="Tahoma" w:cs="Tahoma"/>
        </w:rPr>
        <w:t>ospital</w:t>
      </w:r>
      <w:r w:rsidRPr="00B45090">
        <w:rPr>
          <w:rFonts w:ascii="Tahoma" w:hAnsi="Tahoma" w:cs="Tahoma"/>
        </w:rPr>
        <w:t xml:space="preserve"> presenta un nivel de endeudamiento </w:t>
      </w:r>
      <w:r w:rsidR="009167DA">
        <w:rPr>
          <w:rFonts w:ascii="Tahoma" w:hAnsi="Tahoma" w:cs="Tahoma"/>
        </w:rPr>
        <w:t>alto</w:t>
      </w:r>
      <w:r w:rsidRPr="00B45090">
        <w:rPr>
          <w:rFonts w:ascii="Tahoma" w:hAnsi="Tahoma" w:cs="Tahoma"/>
        </w:rPr>
        <w:t xml:space="preserve"> respecto al total de sus activos, alcanzando un margen del </w:t>
      </w:r>
      <w:r w:rsidR="009167DA">
        <w:rPr>
          <w:rFonts w:ascii="Tahoma" w:hAnsi="Tahoma" w:cs="Tahoma"/>
        </w:rPr>
        <w:t>56.90</w:t>
      </w:r>
      <w:r w:rsidRPr="00B45090">
        <w:rPr>
          <w:rFonts w:ascii="Tahoma" w:hAnsi="Tahoma" w:cs="Tahoma"/>
        </w:rPr>
        <w:t>%.</w:t>
      </w:r>
    </w:p>
    <w:p w:rsidR="000D2062" w:rsidRPr="00B45090" w:rsidRDefault="000D2062" w:rsidP="00280151">
      <w:pPr>
        <w:spacing w:before="0" w:after="0"/>
        <w:jc w:val="both"/>
        <w:rPr>
          <w:rFonts w:ascii="Tahoma" w:hAnsi="Tahoma" w:cs="Tahoma"/>
        </w:rPr>
      </w:pPr>
    </w:p>
    <w:p w:rsidR="000D2062" w:rsidRPr="00B45090" w:rsidRDefault="000D2062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De acuerdo con los resultados de sus indicadores </w:t>
      </w:r>
      <w:r w:rsidR="00C83948" w:rsidRPr="00B45090">
        <w:rPr>
          <w:rFonts w:ascii="Tahoma" w:hAnsi="Tahoma" w:cs="Tahoma"/>
        </w:rPr>
        <w:t xml:space="preserve">podemos concluir que el </w:t>
      </w:r>
      <w:r w:rsidR="00E029B6">
        <w:rPr>
          <w:rFonts w:ascii="Tahoma" w:hAnsi="Tahoma" w:cs="Tahoma"/>
        </w:rPr>
        <w:t xml:space="preserve">mencionado </w:t>
      </w:r>
      <w:r w:rsidR="00A00610">
        <w:rPr>
          <w:rFonts w:ascii="Tahoma" w:hAnsi="Tahoma" w:cs="Tahoma"/>
        </w:rPr>
        <w:t>H</w:t>
      </w:r>
      <w:r w:rsidR="00E029B6">
        <w:rPr>
          <w:rFonts w:ascii="Tahoma" w:hAnsi="Tahoma" w:cs="Tahoma"/>
        </w:rPr>
        <w:t xml:space="preserve">ospital </w:t>
      </w:r>
      <w:r w:rsidR="00C83948" w:rsidRPr="00B45090">
        <w:rPr>
          <w:rFonts w:ascii="Tahoma" w:hAnsi="Tahoma" w:cs="Tahoma"/>
        </w:rPr>
        <w:t>al corte del 3</w:t>
      </w:r>
      <w:r w:rsidR="00EA55D0">
        <w:rPr>
          <w:rFonts w:ascii="Tahoma" w:hAnsi="Tahoma" w:cs="Tahoma"/>
        </w:rPr>
        <w:t>1</w:t>
      </w:r>
      <w:r w:rsidR="00C83948" w:rsidRPr="00B45090">
        <w:rPr>
          <w:rFonts w:ascii="Tahoma" w:hAnsi="Tahoma" w:cs="Tahoma"/>
        </w:rPr>
        <w:t xml:space="preserve"> de diciembre de 201</w:t>
      </w:r>
      <w:r w:rsidR="00EA55D0">
        <w:rPr>
          <w:rFonts w:ascii="Tahoma" w:hAnsi="Tahoma" w:cs="Tahoma"/>
        </w:rPr>
        <w:t>5</w:t>
      </w:r>
      <w:r w:rsidR="00C83948" w:rsidRPr="00B45090">
        <w:rPr>
          <w:rFonts w:ascii="Tahoma" w:hAnsi="Tahoma" w:cs="Tahoma"/>
        </w:rPr>
        <w:t>,</w:t>
      </w:r>
      <w:r w:rsidR="00C90A8E">
        <w:rPr>
          <w:rFonts w:ascii="Tahoma" w:hAnsi="Tahoma" w:cs="Tahoma"/>
        </w:rPr>
        <w:t xml:space="preserve"> no obstante sus activos haber crecido para la vigencia en estudio, los demás indicadores nos permiten concluir que el mencionado Hospital</w:t>
      </w:r>
      <w:r w:rsidR="00C83948" w:rsidRPr="00B45090">
        <w:rPr>
          <w:rFonts w:ascii="Tahoma" w:hAnsi="Tahoma" w:cs="Tahoma"/>
        </w:rPr>
        <w:t xml:space="preserve"> presentaba una situación financiera </w:t>
      </w:r>
      <w:r w:rsidR="00C90A8E">
        <w:rPr>
          <w:rFonts w:ascii="Tahoma" w:hAnsi="Tahoma" w:cs="Tahoma"/>
        </w:rPr>
        <w:t>des</w:t>
      </w:r>
      <w:r w:rsidR="00C83948" w:rsidRPr="00B45090">
        <w:rPr>
          <w:rFonts w:ascii="Tahoma" w:hAnsi="Tahoma" w:cs="Tahoma"/>
        </w:rPr>
        <w:t>favorable.</w:t>
      </w:r>
    </w:p>
    <w:p w:rsidR="00A7456E" w:rsidRPr="00B45090" w:rsidRDefault="00A7456E" w:rsidP="00A7456E">
      <w:pPr>
        <w:spacing w:before="0" w:after="0"/>
        <w:jc w:val="both"/>
        <w:rPr>
          <w:rFonts w:ascii="Tahoma" w:hAnsi="Tahoma" w:cs="Tahoma"/>
        </w:rPr>
      </w:pPr>
    </w:p>
    <w:sectPr w:rsidR="00A7456E" w:rsidRPr="00B45090" w:rsidSect="00454B8B">
      <w:headerReference w:type="default" r:id="rId10"/>
      <w:footerReference w:type="default" r:id="rId11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CD3" w:rsidRDefault="00560CD3" w:rsidP="00650A99">
      <w:r>
        <w:separator/>
      </w:r>
    </w:p>
  </w:endnote>
  <w:endnote w:type="continuationSeparator" w:id="0">
    <w:p w:rsidR="00560CD3" w:rsidRDefault="00560CD3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A77" w:rsidRPr="00070555" w:rsidRDefault="006E1A77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E1A77" w:rsidRPr="003205FF" w:rsidRDefault="006E1A77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E706B8" w:rsidRPr="00E706B8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7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E706B8" w:rsidRPr="00E706B8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8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6E1A77" w:rsidRPr="003205FF" w:rsidRDefault="006E1A77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E706B8" w:rsidRPr="00E706B8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7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E706B8" w:rsidRPr="00E706B8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8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E1A77" w:rsidRDefault="006E1A7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6E1A77" w:rsidRDefault="006E1A77"/>
                </w:txbxContent>
              </v:textbox>
            </v:shape>
          </w:pict>
        </mc:Fallback>
      </mc:AlternateContent>
    </w:r>
  </w:p>
  <w:p w:rsidR="006E1A77" w:rsidRPr="00070555" w:rsidRDefault="006E1A77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E1A77" w:rsidRDefault="006E1A77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6E1A77" w:rsidRDefault="006E1A77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6E1A77" w:rsidRPr="00BB3D88" w:rsidRDefault="006E1A77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6E1A77" w:rsidRPr="003205FF" w:rsidRDefault="00E706B8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6E1A77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6E1A77" w:rsidRPr="000352F0" w:rsidRDefault="006E1A77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6E1A77" w:rsidRPr="00BB3D88" w:rsidRDefault="006E1A77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6E1A77" w:rsidRPr="00A926CE" w:rsidRDefault="006E1A77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6E1A77" w:rsidRDefault="006E1A77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6E1A77" w:rsidRDefault="006E1A77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6E1A77" w:rsidRPr="00BB3D88" w:rsidRDefault="006E1A77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6E1A77" w:rsidRPr="003205FF" w:rsidRDefault="00E706B8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6E1A77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6E1A77" w:rsidRPr="000352F0" w:rsidRDefault="006E1A77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6E1A77" w:rsidRPr="00BB3D88" w:rsidRDefault="006E1A77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6E1A77" w:rsidRPr="00A926CE" w:rsidRDefault="006E1A77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CD3" w:rsidRDefault="00560CD3" w:rsidP="00650A99">
      <w:r>
        <w:separator/>
      </w:r>
    </w:p>
  </w:footnote>
  <w:footnote w:type="continuationSeparator" w:id="0">
    <w:p w:rsidR="00560CD3" w:rsidRDefault="00560CD3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A77" w:rsidRDefault="00804EC2">
    <w:pPr>
      <w:pStyle w:val="Encabezado"/>
    </w:pPr>
    <w:r>
      <w:rPr>
        <w:noProof/>
      </w:rPr>
      <w:drawing>
        <wp:inline distT="0" distB="0" distL="0" distR="0">
          <wp:extent cx="1428750" cy="1057275"/>
          <wp:effectExtent l="0" t="0" r="0" b="9525"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1057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20153"/>
    <w:rsid w:val="00025419"/>
    <w:rsid w:val="0002551C"/>
    <w:rsid w:val="0003468E"/>
    <w:rsid w:val="000352F0"/>
    <w:rsid w:val="00043E5E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913E2"/>
    <w:rsid w:val="000A4FDA"/>
    <w:rsid w:val="000A5F72"/>
    <w:rsid w:val="000B2490"/>
    <w:rsid w:val="000B2584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77DC"/>
    <w:rsid w:val="00124F58"/>
    <w:rsid w:val="001301DF"/>
    <w:rsid w:val="001304FF"/>
    <w:rsid w:val="00131E4E"/>
    <w:rsid w:val="00132C47"/>
    <w:rsid w:val="0013431C"/>
    <w:rsid w:val="001361E3"/>
    <w:rsid w:val="0014091C"/>
    <w:rsid w:val="001531E5"/>
    <w:rsid w:val="00154430"/>
    <w:rsid w:val="001553AA"/>
    <w:rsid w:val="001605A0"/>
    <w:rsid w:val="00160B31"/>
    <w:rsid w:val="001666F5"/>
    <w:rsid w:val="0017250D"/>
    <w:rsid w:val="001A0D99"/>
    <w:rsid w:val="001A5473"/>
    <w:rsid w:val="001B7E9B"/>
    <w:rsid w:val="001D30AE"/>
    <w:rsid w:val="001E0386"/>
    <w:rsid w:val="001E19D5"/>
    <w:rsid w:val="001E2459"/>
    <w:rsid w:val="001E6C74"/>
    <w:rsid w:val="001F2005"/>
    <w:rsid w:val="001F3E0C"/>
    <w:rsid w:val="002049C5"/>
    <w:rsid w:val="00216974"/>
    <w:rsid w:val="00224140"/>
    <w:rsid w:val="00226503"/>
    <w:rsid w:val="00232710"/>
    <w:rsid w:val="002467D6"/>
    <w:rsid w:val="00250B2A"/>
    <w:rsid w:val="00254A87"/>
    <w:rsid w:val="002608D4"/>
    <w:rsid w:val="00267A53"/>
    <w:rsid w:val="002702FE"/>
    <w:rsid w:val="002751D2"/>
    <w:rsid w:val="00280151"/>
    <w:rsid w:val="00293B22"/>
    <w:rsid w:val="00294FB6"/>
    <w:rsid w:val="00297AD1"/>
    <w:rsid w:val="002A5283"/>
    <w:rsid w:val="002B7E6A"/>
    <w:rsid w:val="002C1BB6"/>
    <w:rsid w:val="002C24CB"/>
    <w:rsid w:val="002C31ED"/>
    <w:rsid w:val="002D62AF"/>
    <w:rsid w:val="002E1436"/>
    <w:rsid w:val="002E7240"/>
    <w:rsid w:val="002F54E8"/>
    <w:rsid w:val="003026A2"/>
    <w:rsid w:val="00303824"/>
    <w:rsid w:val="00306CC6"/>
    <w:rsid w:val="003205FF"/>
    <w:rsid w:val="00321EC8"/>
    <w:rsid w:val="003222EC"/>
    <w:rsid w:val="003305B2"/>
    <w:rsid w:val="00332DE4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C0774"/>
    <w:rsid w:val="003C5E57"/>
    <w:rsid w:val="003E1D31"/>
    <w:rsid w:val="003E25A9"/>
    <w:rsid w:val="003E2C41"/>
    <w:rsid w:val="003F5E08"/>
    <w:rsid w:val="004032C1"/>
    <w:rsid w:val="00407637"/>
    <w:rsid w:val="004120E2"/>
    <w:rsid w:val="00430D77"/>
    <w:rsid w:val="00431C08"/>
    <w:rsid w:val="00440EAB"/>
    <w:rsid w:val="00452DB6"/>
    <w:rsid w:val="00452E65"/>
    <w:rsid w:val="00454B8B"/>
    <w:rsid w:val="00466271"/>
    <w:rsid w:val="0046718C"/>
    <w:rsid w:val="00467508"/>
    <w:rsid w:val="00467595"/>
    <w:rsid w:val="00480FCA"/>
    <w:rsid w:val="00481C55"/>
    <w:rsid w:val="0048203B"/>
    <w:rsid w:val="0049303C"/>
    <w:rsid w:val="00496461"/>
    <w:rsid w:val="004A00E3"/>
    <w:rsid w:val="004B3739"/>
    <w:rsid w:val="004C10FE"/>
    <w:rsid w:val="004C250E"/>
    <w:rsid w:val="004C27B6"/>
    <w:rsid w:val="004D0B58"/>
    <w:rsid w:val="004D5666"/>
    <w:rsid w:val="004E17F3"/>
    <w:rsid w:val="004E3F57"/>
    <w:rsid w:val="004E585C"/>
    <w:rsid w:val="004F2F93"/>
    <w:rsid w:val="004F4C50"/>
    <w:rsid w:val="004F4E1C"/>
    <w:rsid w:val="00505A2E"/>
    <w:rsid w:val="00506345"/>
    <w:rsid w:val="0051593E"/>
    <w:rsid w:val="00516E68"/>
    <w:rsid w:val="00520FA4"/>
    <w:rsid w:val="0052650A"/>
    <w:rsid w:val="005279E8"/>
    <w:rsid w:val="005305C4"/>
    <w:rsid w:val="00551920"/>
    <w:rsid w:val="00552A0E"/>
    <w:rsid w:val="00560B0C"/>
    <w:rsid w:val="00560CA3"/>
    <w:rsid w:val="00560CD3"/>
    <w:rsid w:val="00562B5C"/>
    <w:rsid w:val="00563F32"/>
    <w:rsid w:val="00585BCF"/>
    <w:rsid w:val="00585ED0"/>
    <w:rsid w:val="00590A7E"/>
    <w:rsid w:val="005916D2"/>
    <w:rsid w:val="00595ED2"/>
    <w:rsid w:val="005A4B63"/>
    <w:rsid w:val="005B6F12"/>
    <w:rsid w:val="005C3743"/>
    <w:rsid w:val="005D57CC"/>
    <w:rsid w:val="005D7093"/>
    <w:rsid w:val="005E0F2D"/>
    <w:rsid w:val="005E1DE9"/>
    <w:rsid w:val="005E5E78"/>
    <w:rsid w:val="005F356A"/>
    <w:rsid w:val="00603AAD"/>
    <w:rsid w:val="006068E9"/>
    <w:rsid w:val="006074FF"/>
    <w:rsid w:val="00617A76"/>
    <w:rsid w:val="00617E98"/>
    <w:rsid w:val="00630301"/>
    <w:rsid w:val="00644A95"/>
    <w:rsid w:val="00645911"/>
    <w:rsid w:val="006467CD"/>
    <w:rsid w:val="00650A99"/>
    <w:rsid w:val="00652DA3"/>
    <w:rsid w:val="00670D69"/>
    <w:rsid w:val="00672971"/>
    <w:rsid w:val="006756E8"/>
    <w:rsid w:val="0067758A"/>
    <w:rsid w:val="00687B70"/>
    <w:rsid w:val="00692975"/>
    <w:rsid w:val="006A5FCB"/>
    <w:rsid w:val="006B765E"/>
    <w:rsid w:val="006D2B4A"/>
    <w:rsid w:val="006E1A77"/>
    <w:rsid w:val="00700D52"/>
    <w:rsid w:val="00700DB0"/>
    <w:rsid w:val="0070120A"/>
    <w:rsid w:val="007062D9"/>
    <w:rsid w:val="00706545"/>
    <w:rsid w:val="00745063"/>
    <w:rsid w:val="00747180"/>
    <w:rsid w:val="00754337"/>
    <w:rsid w:val="00764ABD"/>
    <w:rsid w:val="00764E89"/>
    <w:rsid w:val="00770276"/>
    <w:rsid w:val="00770ADC"/>
    <w:rsid w:val="00771928"/>
    <w:rsid w:val="00773282"/>
    <w:rsid w:val="007845CA"/>
    <w:rsid w:val="00796DDA"/>
    <w:rsid w:val="007B4882"/>
    <w:rsid w:val="007B57F9"/>
    <w:rsid w:val="007B70F7"/>
    <w:rsid w:val="007C4270"/>
    <w:rsid w:val="007E2DEE"/>
    <w:rsid w:val="007F7C04"/>
    <w:rsid w:val="00800EEF"/>
    <w:rsid w:val="008036D7"/>
    <w:rsid w:val="00804EC2"/>
    <w:rsid w:val="00814D3D"/>
    <w:rsid w:val="00815D0B"/>
    <w:rsid w:val="00820529"/>
    <w:rsid w:val="00821EDD"/>
    <w:rsid w:val="00827082"/>
    <w:rsid w:val="00832014"/>
    <w:rsid w:val="008326D2"/>
    <w:rsid w:val="008371F8"/>
    <w:rsid w:val="008530C9"/>
    <w:rsid w:val="00855BA6"/>
    <w:rsid w:val="00872CA8"/>
    <w:rsid w:val="008761A0"/>
    <w:rsid w:val="00897455"/>
    <w:rsid w:val="008A0D33"/>
    <w:rsid w:val="008A30E5"/>
    <w:rsid w:val="008A5D7F"/>
    <w:rsid w:val="008B3FAA"/>
    <w:rsid w:val="008E2ADB"/>
    <w:rsid w:val="008E40B7"/>
    <w:rsid w:val="008E6775"/>
    <w:rsid w:val="008F6815"/>
    <w:rsid w:val="009058D0"/>
    <w:rsid w:val="00907660"/>
    <w:rsid w:val="00914565"/>
    <w:rsid w:val="009167DA"/>
    <w:rsid w:val="00921D04"/>
    <w:rsid w:val="00926B45"/>
    <w:rsid w:val="009339AC"/>
    <w:rsid w:val="00934CE3"/>
    <w:rsid w:val="00942761"/>
    <w:rsid w:val="00942F02"/>
    <w:rsid w:val="00943029"/>
    <w:rsid w:val="00957662"/>
    <w:rsid w:val="009606B3"/>
    <w:rsid w:val="00966EAD"/>
    <w:rsid w:val="00990B51"/>
    <w:rsid w:val="00991F22"/>
    <w:rsid w:val="009A33BC"/>
    <w:rsid w:val="009C0615"/>
    <w:rsid w:val="009C7900"/>
    <w:rsid w:val="009D7ECE"/>
    <w:rsid w:val="009E50DF"/>
    <w:rsid w:val="009E7743"/>
    <w:rsid w:val="009F3562"/>
    <w:rsid w:val="009F3F48"/>
    <w:rsid w:val="00A00610"/>
    <w:rsid w:val="00A04FA7"/>
    <w:rsid w:val="00A32BD8"/>
    <w:rsid w:val="00A34FD5"/>
    <w:rsid w:val="00A43B37"/>
    <w:rsid w:val="00A44F64"/>
    <w:rsid w:val="00A47CA0"/>
    <w:rsid w:val="00A5299C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B694A"/>
    <w:rsid w:val="00AC2B0C"/>
    <w:rsid w:val="00AC6DD0"/>
    <w:rsid w:val="00AD33C2"/>
    <w:rsid w:val="00AD56DB"/>
    <w:rsid w:val="00AE45E6"/>
    <w:rsid w:val="00AF71D3"/>
    <w:rsid w:val="00B11E2E"/>
    <w:rsid w:val="00B179EC"/>
    <w:rsid w:val="00B17D06"/>
    <w:rsid w:val="00B229DE"/>
    <w:rsid w:val="00B235FD"/>
    <w:rsid w:val="00B258AA"/>
    <w:rsid w:val="00B34497"/>
    <w:rsid w:val="00B430BE"/>
    <w:rsid w:val="00B45090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BE3BEC"/>
    <w:rsid w:val="00BF2069"/>
    <w:rsid w:val="00BF4436"/>
    <w:rsid w:val="00C0423C"/>
    <w:rsid w:val="00C06948"/>
    <w:rsid w:val="00C20CA8"/>
    <w:rsid w:val="00C276A2"/>
    <w:rsid w:val="00C334D1"/>
    <w:rsid w:val="00C35423"/>
    <w:rsid w:val="00C36BE7"/>
    <w:rsid w:val="00C4038C"/>
    <w:rsid w:val="00C404DC"/>
    <w:rsid w:val="00C43064"/>
    <w:rsid w:val="00C54674"/>
    <w:rsid w:val="00C54E28"/>
    <w:rsid w:val="00C6685D"/>
    <w:rsid w:val="00C70370"/>
    <w:rsid w:val="00C81FC2"/>
    <w:rsid w:val="00C83948"/>
    <w:rsid w:val="00C90A8E"/>
    <w:rsid w:val="00CA08FB"/>
    <w:rsid w:val="00CB47E0"/>
    <w:rsid w:val="00CB4A00"/>
    <w:rsid w:val="00CC0170"/>
    <w:rsid w:val="00CC38D6"/>
    <w:rsid w:val="00CC74DC"/>
    <w:rsid w:val="00CD5CCB"/>
    <w:rsid w:val="00CD726A"/>
    <w:rsid w:val="00CE16DB"/>
    <w:rsid w:val="00CE3D10"/>
    <w:rsid w:val="00CE6524"/>
    <w:rsid w:val="00CF0493"/>
    <w:rsid w:val="00CF1EAB"/>
    <w:rsid w:val="00CF6745"/>
    <w:rsid w:val="00D226DC"/>
    <w:rsid w:val="00D33C32"/>
    <w:rsid w:val="00D41309"/>
    <w:rsid w:val="00D42439"/>
    <w:rsid w:val="00D718F8"/>
    <w:rsid w:val="00D71C09"/>
    <w:rsid w:val="00D774B6"/>
    <w:rsid w:val="00D81436"/>
    <w:rsid w:val="00D95EE7"/>
    <w:rsid w:val="00DA07E0"/>
    <w:rsid w:val="00DA76D0"/>
    <w:rsid w:val="00DB2278"/>
    <w:rsid w:val="00DB5DE5"/>
    <w:rsid w:val="00DD0981"/>
    <w:rsid w:val="00DD5CA9"/>
    <w:rsid w:val="00E00EAB"/>
    <w:rsid w:val="00E029B6"/>
    <w:rsid w:val="00E04D19"/>
    <w:rsid w:val="00E06024"/>
    <w:rsid w:val="00E231C1"/>
    <w:rsid w:val="00E37DA4"/>
    <w:rsid w:val="00E438FA"/>
    <w:rsid w:val="00E44E11"/>
    <w:rsid w:val="00E562E9"/>
    <w:rsid w:val="00E706B8"/>
    <w:rsid w:val="00E745B9"/>
    <w:rsid w:val="00E80CF1"/>
    <w:rsid w:val="00E82DF4"/>
    <w:rsid w:val="00EA55D0"/>
    <w:rsid w:val="00ED18CB"/>
    <w:rsid w:val="00EE3527"/>
    <w:rsid w:val="00F067EF"/>
    <w:rsid w:val="00F11CE8"/>
    <w:rsid w:val="00F152E9"/>
    <w:rsid w:val="00F413A2"/>
    <w:rsid w:val="00F57D5F"/>
    <w:rsid w:val="00F60B4E"/>
    <w:rsid w:val="00F64422"/>
    <w:rsid w:val="00F74A4C"/>
    <w:rsid w:val="00FA4514"/>
    <w:rsid w:val="00FA4C6D"/>
    <w:rsid w:val="00FB1D70"/>
    <w:rsid w:val="00FC413F"/>
    <w:rsid w:val="00FD1869"/>
    <w:rsid w:val="00FD24D7"/>
    <w:rsid w:val="00FD52EC"/>
    <w:rsid w:val="00FE0B11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CEA03CAB-3FC6-4975-BEF0-FB199B44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7EA11-2F14-4DB6-8FDD-DA703867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8</Pages>
  <Words>1778</Words>
  <Characters>9780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17</cp:revision>
  <cp:lastPrinted>2016-12-25T21:27:00Z</cp:lastPrinted>
  <dcterms:created xsi:type="dcterms:W3CDTF">2016-10-28T13:09:00Z</dcterms:created>
  <dcterms:modified xsi:type="dcterms:W3CDTF">2016-12-25T21:28:00Z</dcterms:modified>
</cp:coreProperties>
</file>