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6FA" w:rsidRPr="00AD4CE9" w:rsidRDefault="000E46FA" w:rsidP="00AD4CE9">
      <w:pPr>
        <w:spacing w:before="0" w:after="0" w:line="228" w:lineRule="auto"/>
        <w:rPr>
          <w:rFonts w:ascii="Tahoma" w:hAnsi="Tahoma" w:cs="Tahoma"/>
        </w:rPr>
      </w:pPr>
      <w:bookmarkStart w:id="0" w:name="_GoBack"/>
      <w:bookmarkEnd w:id="0"/>
    </w:p>
    <w:p w:rsidR="0067758A" w:rsidRDefault="0067758A" w:rsidP="00383FAE">
      <w:pPr>
        <w:pStyle w:val="Prrafodelista"/>
        <w:numPr>
          <w:ilvl w:val="0"/>
          <w:numId w:val="1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 xml:space="preserve">BALANCE GENERAL COMPARATIVO </w:t>
      </w: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EA1F64" w:rsidP="00AD4CE9">
      <w:pPr>
        <w:spacing w:before="0" w:after="0" w:line="228" w:lineRule="auto"/>
        <w:rPr>
          <w:rFonts w:ascii="Tahoma" w:hAnsi="Tahoma" w:cs="Tahoma"/>
          <w:noProof/>
        </w:rPr>
      </w:pPr>
      <w:r w:rsidRPr="00EA1F64">
        <w:rPr>
          <w:noProof/>
        </w:rPr>
        <w:drawing>
          <wp:inline distT="0" distB="0" distL="0" distR="0" wp14:anchorId="5B17129C" wp14:editId="1F31CF9A">
            <wp:extent cx="6164502" cy="6282047"/>
            <wp:effectExtent l="0" t="0" r="8255" b="508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3572" cy="629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EA1F64" w:rsidP="00AD4CE9">
      <w:pPr>
        <w:spacing w:before="0" w:after="0" w:line="228" w:lineRule="auto"/>
        <w:rPr>
          <w:rFonts w:ascii="Tahoma" w:hAnsi="Tahoma" w:cs="Tahoma"/>
          <w:noProof/>
        </w:rPr>
      </w:pPr>
      <w:r>
        <w:rPr>
          <w:rFonts w:ascii="Tahoma" w:hAnsi="Tahoma" w:cs="Tahoma"/>
          <w:noProof/>
        </w:rPr>
        <w:drawing>
          <wp:inline distT="0" distB="0" distL="0" distR="0" wp14:anchorId="4B67BFE6">
            <wp:extent cx="4584700" cy="2743200"/>
            <wp:effectExtent l="0" t="0" r="635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5368E" w:rsidRPr="00AD4CE9" w:rsidRDefault="0065368E" w:rsidP="00AD4CE9">
      <w:pPr>
        <w:spacing w:before="0" w:after="0" w:line="228" w:lineRule="auto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EC5776" w:rsidRDefault="00EA1F64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 Municipio de Villarrica</w:t>
      </w:r>
      <w:r w:rsidR="00EC5776">
        <w:rPr>
          <w:rFonts w:ascii="Tahoma" w:hAnsi="Tahoma" w:cs="Tahoma"/>
        </w:rPr>
        <w:t>, en su Balance General Consolidado a 31 de diciembre de 2015 registra u</w:t>
      </w:r>
      <w:r>
        <w:rPr>
          <w:rFonts w:ascii="Tahoma" w:hAnsi="Tahoma" w:cs="Tahoma"/>
        </w:rPr>
        <w:t>n total de activos de $11.339,5</w:t>
      </w:r>
      <w:r w:rsidR="00EC5776">
        <w:rPr>
          <w:rFonts w:ascii="Tahoma" w:hAnsi="Tahoma" w:cs="Tahoma"/>
        </w:rPr>
        <w:t xml:space="preserve"> millones que comparado con el saldo alcanzado</w:t>
      </w:r>
      <w:r>
        <w:rPr>
          <w:rFonts w:ascii="Tahoma" w:hAnsi="Tahoma" w:cs="Tahoma"/>
        </w:rPr>
        <w:t xml:space="preserve"> en la vigencia 2014 ($10.739,4 millones) muestra </w:t>
      </w:r>
      <w:r w:rsidR="00EC5776">
        <w:rPr>
          <w:rFonts w:ascii="Tahoma" w:hAnsi="Tahoma" w:cs="Tahoma"/>
        </w:rPr>
        <w:t xml:space="preserve"> un incremento</w:t>
      </w:r>
      <w:r>
        <w:rPr>
          <w:rFonts w:ascii="Tahoma" w:hAnsi="Tahoma" w:cs="Tahoma"/>
        </w:rPr>
        <w:t xml:space="preserve"> en el saldo  del  5.59</w:t>
      </w:r>
      <w:r w:rsidR="00EC5776">
        <w:rPr>
          <w:rFonts w:ascii="Tahoma" w:hAnsi="Tahoma" w:cs="Tahoma"/>
        </w:rPr>
        <w:t>%.</w:t>
      </w:r>
    </w:p>
    <w:p w:rsidR="00EA1F64" w:rsidRDefault="00EA1F64" w:rsidP="00EA1F64">
      <w:pPr>
        <w:spacing w:before="0" w:after="0" w:line="228" w:lineRule="auto"/>
        <w:jc w:val="both"/>
        <w:rPr>
          <w:rFonts w:ascii="Tahoma" w:hAnsi="Tahoma" w:cs="Tahoma"/>
        </w:rPr>
      </w:pPr>
    </w:p>
    <w:p w:rsidR="00EA1F64" w:rsidRDefault="00EA1F64" w:rsidP="00EA1F64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Dentro de este grupo se encuentra la cuenta de E</w:t>
      </w:r>
      <w:r w:rsidR="0041555C">
        <w:rPr>
          <w:rFonts w:ascii="Tahoma" w:hAnsi="Tahoma" w:cs="Tahoma"/>
        </w:rPr>
        <w:t>fectivo, cuyo saldo presentó una disminución  porcentual e</w:t>
      </w:r>
      <w:r>
        <w:rPr>
          <w:rFonts w:ascii="Tahoma" w:hAnsi="Tahoma" w:cs="Tahoma"/>
        </w:rPr>
        <w:t>ntre las dos vigencias (2014-2015) del</w:t>
      </w:r>
      <w:r w:rsidR="0041555C">
        <w:rPr>
          <w:rFonts w:ascii="Tahoma" w:hAnsi="Tahoma" w:cs="Tahoma"/>
        </w:rPr>
        <w:t xml:space="preserve"> 43.58% al pasar de $</w:t>
      </w:r>
      <w:r w:rsidR="00652DAB">
        <w:rPr>
          <w:rFonts w:ascii="Tahoma" w:hAnsi="Tahoma" w:cs="Tahoma"/>
        </w:rPr>
        <w:t>374 millones en el 2014 a $211</w:t>
      </w:r>
      <w:r>
        <w:rPr>
          <w:rFonts w:ascii="Tahoma" w:hAnsi="Tahoma" w:cs="Tahoma"/>
        </w:rPr>
        <w:t xml:space="preserve"> millones</w:t>
      </w:r>
      <w:r w:rsidR="00652DAB">
        <w:rPr>
          <w:rFonts w:ascii="Tahoma" w:hAnsi="Tahoma" w:cs="Tahoma"/>
        </w:rPr>
        <w:t xml:space="preserve"> en el 2015</w:t>
      </w:r>
      <w:r>
        <w:rPr>
          <w:rFonts w:ascii="Tahoma" w:hAnsi="Tahoma" w:cs="Tahoma"/>
        </w:rPr>
        <w:t>.</w:t>
      </w:r>
      <w:r w:rsidR="00652DAB">
        <w:rPr>
          <w:rFonts w:ascii="Tahoma" w:hAnsi="Tahoma" w:cs="Tahoma"/>
        </w:rPr>
        <w:t xml:space="preserve"> El saldo de $144,2</w:t>
      </w:r>
      <w:r>
        <w:rPr>
          <w:rFonts w:ascii="Tahoma" w:hAnsi="Tahoma" w:cs="Tahoma"/>
        </w:rPr>
        <w:t xml:space="preserve"> mil</w:t>
      </w:r>
      <w:r w:rsidR="00652DAB">
        <w:rPr>
          <w:rFonts w:ascii="Tahoma" w:hAnsi="Tahoma" w:cs="Tahoma"/>
        </w:rPr>
        <w:t>lones que representaron el 68.86</w:t>
      </w:r>
      <w:r>
        <w:rPr>
          <w:rFonts w:ascii="Tahoma" w:hAnsi="Tahoma" w:cs="Tahoma"/>
        </w:rPr>
        <w:t xml:space="preserve">% de los recursos del municipio se encontraban consignados al finalizar </w:t>
      </w:r>
      <w:r w:rsidR="00652DAB">
        <w:rPr>
          <w:rFonts w:ascii="Tahoma" w:hAnsi="Tahoma" w:cs="Tahoma"/>
        </w:rPr>
        <w:t>la vigencia en cuentas corrientes</w:t>
      </w:r>
      <w:r>
        <w:rPr>
          <w:rFonts w:ascii="Tahoma" w:hAnsi="Tahoma" w:cs="Tahoma"/>
        </w:rPr>
        <w:t xml:space="preserve">.  </w:t>
      </w:r>
    </w:p>
    <w:p w:rsidR="00EA1F64" w:rsidRDefault="00EA1F64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84CD5" w:rsidRDefault="00384CD5" w:rsidP="00384CD5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comportamiento de las Rentas por Cobrar, reflejan un incremento del 7.69</w:t>
      </w:r>
      <w:r w:rsidR="00997B85">
        <w:rPr>
          <w:rFonts w:ascii="Tahoma" w:hAnsi="Tahoma" w:cs="Tahoma"/>
        </w:rPr>
        <w:t>% al pasar de $741,4 millones en el 2014 a $798,4</w:t>
      </w:r>
      <w:r>
        <w:rPr>
          <w:rFonts w:ascii="Tahoma" w:hAnsi="Tahoma" w:cs="Tahoma"/>
        </w:rPr>
        <w:t xml:space="preserve"> mi</w:t>
      </w:r>
      <w:r w:rsidR="00997B85">
        <w:rPr>
          <w:rFonts w:ascii="Tahoma" w:hAnsi="Tahoma" w:cs="Tahoma"/>
        </w:rPr>
        <w:t>llones en el 2015,  correspondiendo el 88.63</w:t>
      </w:r>
      <w:r>
        <w:rPr>
          <w:rFonts w:ascii="Tahoma" w:hAnsi="Tahoma" w:cs="Tahoma"/>
        </w:rPr>
        <w:t xml:space="preserve">% del saldo  a vigencias anteriores, las cuales </w:t>
      </w:r>
      <w:r w:rsidR="00997B85">
        <w:rPr>
          <w:rFonts w:ascii="Tahoma" w:hAnsi="Tahoma" w:cs="Tahoma"/>
        </w:rPr>
        <w:t>fueron cuantificadas en $707,7</w:t>
      </w:r>
      <w:r>
        <w:rPr>
          <w:rFonts w:ascii="Tahoma" w:hAnsi="Tahoma" w:cs="Tahoma"/>
        </w:rPr>
        <w:t xml:space="preserve"> millones, cifra que alcanzó al cierre del  periodo fiscal </w:t>
      </w:r>
      <w:r w:rsidR="00997B85">
        <w:rPr>
          <w:rFonts w:ascii="Tahoma" w:hAnsi="Tahoma" w:cs="Tahoma"/>
        </w:rPr>
        <w:t xml:space="preserve"> un crecimiento del 27.97</w:t>
      </w:r>
      <w:r>
        <w:rPr>
          <w:rFonts w:ascii="Tahoma" w:hAnsi="Tahoma" w:cs="Tahoma"/>
        </w:rPr>
        <w:t xml:space="preserve">%.  </w:t>
      </w:r>
    </w:p>
    <w:p w:rsidR="00384CD5" w:rsidRDefault="00384CD5" w:rsidP="00384CD5">
      <w:pPr>
        <w:spacing w:before="0" w:after="0" w:line="228" w:lineRule="auto"/>
        <w:jc w:val="both"/>
        <w:rPr>
          <w:rFonts w:ascii="Tahoma" w:hAnsi="Tahoma" w:cs="Tahoma"/>
        </w:rPr>
      </w:pPr>
    </w:p>
    <w:p w:rsidR="00384CD5" w:rsidRPr="00F9272D" w:rsidRDefault="00997B85" w:rsidP="00F9272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saldo de la cuenta Deudores a 31 de diciembre de 2015 </w:t>
      </w:r>
      <w:r w:rsidRPr="00997B85">
        <w:rPr>
          <w:rFonts w:ascii="Tahoma" w:hAnsi="Tahoma" w:cs="Tahoma"/>
        </w:rPr>
        <w:t>fue de $</w:t>
      </w:r>
      <w:r w:rsidRPr="00997B85">
        <w:rPr>
          <w:rFonts w:ascii="Tahoma" w:eastAsia="Times New Roman" w:hAnsi="Tahoma" w:cs="Tahoma"/>
          <w:color w:val="auto"/>
        </w:rPr>
        <w:t>664.3 millones</w:t>
      </w:r>
      <w:r>
        <w:rPr>
          <w:rFonts w:ascii="Tahoma" w:hAnsi="Tahoma" w:cs="Tahoma"/>
        </w:rPr>
        <w:t xml:space="preserve">, </w:t>
      </w:r>
      <w:r w:rsidR="00F9272D">
        <w:rPr>
          <w:rFonts w:ascii="Tahoma" w:hAnsi="Tahoma" w:cs="Tahoma"/>
        </w:rPr>
        <w:t>resultado que obedeció al incremento porcentual del 40.53%  entre el saldo  del 2014 que ascendió a $</w:t>
      </w:r>
      <w:r w:rsidR="00F9272D" w:rsidRPr="00F9272D">
        <w:rPr>
          <w:rFonts w:ascii="Tahoma" w:eastAsia="Times New Roman" w:hAnsi="Tahoma" w:cs="Tahoma"/>
          <w:color w:val="auto"/>
        </w:rPr>
        <w:t xml:space="preserve">472.751 y </w:t>
      </w:r>
      <w:r w:rsidR="00F9272D">
        <w:rPr>
          <w:rFonts w:ascii="Tahoma" w:eastAsia="Times New Roman" w:hAnsi="Tahoma" w:cs="Tahoma"/>
          <w:color w:val="auto"/>
        </w:rPr>
        <w:t xml:space="preserve">el alcanzado al final de la vigencia 2015.  El saldo de la cuenta Deudores  representa el 5.85% del total del activo. </w:t>
      </w:r>
    </w:p>
    <w:p w:rsidR="00EA1F64" w:rsidRDefault="00EA1F64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F9272D" w:rsidRDefault="00F9272D" w:rsidP="00F9272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La cuenta de mayor representatividad dentro del grupo del Activo corresponde a “Otros Activos, cuenta que al finalizar la anualidad 2015, registró  en su saldo la suma de $8.457 millones, con una variación positiva del 9.56% al pasar de $7.719,1 millones  en el (2014) a $8.457 millones en el (2015).</w:t>
      </w:r>
    </w:p>
    <w:p w:rsidR="00F9272D" w:rsidRDefault="00F9272D" w:rsidP="00F9272D">
      <w:pPr>
        <w:spacing w:before="0" w:after="0" w:line="228" w:lineRule="auto"/>
        <w:jc w:val="both"/>
        <w:rPr>
          <w:rFonts w:ascii="Tahoma" w:hAnsi="Tahoma" w:cs="Tahoma"/>
        </w:rPr>
      </w:pPr>
    </w:p>
    <w:p w:rsidR="00C66BB8" w:rsidRDefault="00C66BB8" w:rsidP="00C66BB8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Las cuentas de Propiedad, Planta y Equipo y Bienes de uso público obtuvieron una disminución en los saldos al finalizar la vigencia 2015 del 14.21% y 40.87% respectivamente.</w:t>
      </w:r>
    </w:p>
    <w:p w:rsidR="00C66BB8" w:rsidRDefault="00C66BB8" w:rsidP="00C66BB8">
      <w:pPr>
        <w:spacing w:before="0" w:after="0" w:line="228" w:lineRule="auto"/>
        <w:jc w:val="both"/>
        <w:rPr>
          <w:rFonts w:ascii="Tahoma" w:hAnsi="Tahoma" w:cs="Tahoma"/>
        </w:rPr>
      </w:pPr>
    </w:p>
    <w:p w:rsidR="004674EF" w:rsidRDefault="00C66BB8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saldo de la cuenta Propiedad, Planta y Equipo pasó de $1.357,4 millones en el (2014) a $1.164,5 millones en el 2015. </w:t>
      </w:r>
    </w:p>
    <w:p w:rsidR="005C163A" w:rsidRDefault="005C163A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0645F4" w:rsidRDefault="002D3A88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grupo de cuentas del Pasivo, presentaron un</w:t>
      </w:r>
      <w:r w:rsidR="00C66BB8">
        <w:rPr>
          <w:rFonts w:ascii="Tahoma" w:hAnsi="Tahoma" w:cs="Tahoma"/>
        </w:rPr>
        <w:t xml:space="preserve">a disminución en saldos </w:t>
      </w:r>
      <w:r>
        <w:rPr>
          <w:rFonts w:ascii="Tahoma" w:hAnsi="Tahoma" w:cs="Tahoma"/>
        </w:rPr>
        <w:t xml:space="preserve"> entre las</w:t>
      </w:r>
      <w:r w:rsidR="00C66BB8">
        <w:rPr>
          <w:rFonts w:ascii="Tahoma" w:hAnsi="Tahoma" w:cs="Tahoma"/>
        </w:rPr>
        <w:t xml:space="preserve"> vigencias 2014 y 2015 del 16.64% al pasar de $7.560,1 millones a $6.302,3</w:t>
      </w:r>
      <w:r w:rsidR="000645F4">
        <w:rPr>
          <w:rFonts w:ascii="Tahoma" w:hAnsi="Tahoma" w:cs="Tahoma"/>
        </w:rPr>
        <w:t xml:space="preserve"> millones. </w:t>
      </w:r>
    </w:p>
    <w:p w:rsidR="000645F4" w:rsidRDefault="000645F4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DE1C5D" w:rsidRDefault="000645F4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pasivo por concepto de “Operaciones de Crédito Público”  disminuyó el saldo de la vigencia 2014 en un 25% pasando de contabilizar en el 2014 </w:t>
      </w:r>
      <w:r w:rsidR="002B42A1">
        <w:rPr>
          <w:rFonts w:ascii="Tahoma" w:hAnsi="Tahoma" w:cs="Tahoma"/>
        </w:rPr>
        <w:t xml:space="preserve"> la suma de </w:t>
      </w:r>
      <w:r>
        <w:rPr>
          <w:rFonts w:ascii="Tahoma" w:hAnsi="Tahoma" w:cs="Tahoma"/>
        </w:rPr>
        <w:t xml:space="preserve">$160 millones a $120 millones en el 2015; Las cuentas por pagar también presentaron disminución </w:t>
      </w:r>
      <w:r w:rsidR="00DE1C5D">
        <w:rPr>
          <w:rFonts w:ascii="Tahoma" w:hAnsi="Tahoma" w:cs="Tahoma"/>
        </w:rPr>
        <w:t>del 15.91% registrando en el periodo fiscal  2015 $132,5 millones menos de lo calculado en el 2014, el cual finalizó la vigencia con $833,5 millones, de esta forma se contabiliza como cuentas por pagar en la vigencia 2015 la suma de $700 millones.</w:t>
      </w:r>
    </w:p>
    <w:p w:rsidR="00DE1C5D" w:rsidRDefault="00DE1C5D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5C163A" w:rsidRDefault="00DE1C5D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Comportamiento inverso se presenta con la cuenta “Obligaciones Laborales” quien alcanzó un incremento en el saldo del 26.21% ($8.5 millones) pasando de registrar compromisos en cuantía de 32.7 millones en el 2014 para reconocer obligaciones que ascienden a la suma de $41,2 millones.   </w:t>
      </w:r>
    </w:p>
    <w:p w:rsidR="007B422C" w:rsidRDefault="007B422C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7B422C" w:rsidRDefault="007B422C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cuenta “Otros Pasivos” de igual forma incrementaron su saldo en un 144,3% ($2.6 millones)  pasando de contabilizar en dicha cuenta la suma de $1,8 millones en el 2014 a $4.5 millones en el 2015.</w:t>
      </w:r>
    </w:p>
    <w:p w:rsidR="00C66BB8" w:rsidRDefault="00C66BB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C051C" w:rsidRDefault="004674EF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Patrimonio </w:t>
      </w:r>
      <w:r w:rsidR="006C051C">
        <w:rPr>
          <w:rFonts w:ascii="Tahoma" w:hAnsi="Tahoma" w:cs="Tahoma"/>
        </w:rPr>
        <w:t xml:space="preserve"> refleja</w:t>
      </w:r>
      <w:r>
        <w:rPr>
          <w:rFonts w:ascii="Tahoma" w:hAnsi="Tahoma" w:cs="Tahoma"/>
        </w:rPr>
        <w:t xml:space="preserve"> </w:t>
      </w:r>
      <w:r w:rsidR="006C051C">
        <w:rPr>
          <w:rFonts w:ascii="Tahoma" w:hAnsi="Tahoma" w:cs="Tahoma"/>
        </w:rPr>
        <w:t xml:space="preserve"> </w:t>
      </w:r>
      <w:r w:rsidR="007B422C">
        <w:rPr>
          <w:rFonts w:ascii="Tahoma" w:hAnsi="Tahoma" w:cs="Tahoma"/>
        </w:rPr>
        <w:t xml:space="preserve">un aumento en el saldo del 58,44% esto es $1.857,8 </w:t>
      </w:r>
      <w:r>
        <w:rPr>
          <w:rFonts w:ascii="Tahoma" w:hAnsi="Tahoma" w:cs="Tahoma"/>
        </w:rPr>
        <w:t>millones, generado por el incremento en el resultado del ejercicio</w:t>
      </w:r>
      <w:r w:rsidR="001605F1">
        <w:rPr>
          <w:rFonts w:ascii="Tahoma" w:hAnsi="Tahoma" w:cs="Tahoma"/>
        </w:rPr>
        <w:t xml:space="preserve"> de</w:t>
      </w:r>
      <w:r w:rsidR="0086485C">
        <w:rPr>
          <w:rFonts w:ascii="Tahoma" w:hAnsi="Tahoma" w:cs="Tahoma"/>
        </w:rPr>
        <w:t xml:space="preserve"> 3.141</w:t>
      </w:r>
      <w:r w:rsidR="005F4F98">
        <w:rPr>
          <w:rFonts w:ascii="Tahoma" w:hAnsi="Tahoma" w:cs="Tahoma"/>
        </w:rPr>
        <w:t>,21%</w:t>
      </w:r>
      <w:r>
        <w:rPr>
          <w:rFonts w:ascii="Tahoma" w:hAnsi="Tahoma" w:cs="Tahoma"/>
        </w:rPr>
        <w:t>, pasando  de</w:t>
      </w:r>
      <w:r w:rsidR="007B422C">
        <w:rPr>
          <w:rFonts w:ascii="Tahoma" w:hAnsi="Tahoma" w:cs="Tahoma"/>
        </w:rPr>
        <w:t xml:space="preserve"> registrar la suma de </w:t>
      </w:r>
      <w:r>
        <w:rPr>
          <w:rFonts w:ascii="Tahoma" w:hAnsi="Tahoma" w:cs="Tahoma"/>
        </w:rPr>
        <w:t>$</w:t>
      </w:r>
      <w:r w:rsidR="007B422C">
        <w:rPr>
          <w:rFonts w:ascii="Tahoma" w:hAnsi="Tahoma" w:cs="Tahoma"/>
        </w:rPr>
        <w:t xml:space="preserve">63,6 </w:t>
      </w:r>
      <w:r>
        <w:rPr>
          <w:rFonts w:ascii="Tahoma" w:hAnsi="Tahoma" w:cs="Tahoma"/>
        </w:rPr>
        <w:t xml:space="preserve"> millones en el 2014  a $</w:t>
      </w:r>
      <w:r w:rsidR="007B422C">
        <w:rPr>
          <w:rFonts w:ascii="Tahoma" w:hAnsi="Tahoma" w:cs="Tahoma"/>
        </w:rPr>
        <w:t xml:space="preserve">2.063,5 </w:t>
      </w:r>
      <w:r>
        <w:rPr>
          <w:rFonts w:ascii="Tahoma" w:hAnsi="Tahoma" w:cs="Tahoma"/>
        </w:rPr>
        <w:t>millones en el 2015.</w:t>
      </w:r>
    </w:p>
    <w:p w:rsidR="00EC5776" w:rsidRDefault="00EC5776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7B422C" w:rsidRDefault="007B422C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7B422C" w:rsidRDefault="007B422C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795639" w:rsidRPr="00795639" w:rsidRDefault="00795639" w:rsidP="00383FAE">
      <w:pPr>
        <w:pStyle w:val="Prrafodelista"/>
        <w:numPr>
          <w:ilvl w:val="0"/>
          <w:numId w:val="1"/>
        </w:numPr>
        <w:spacing w:before="0" w:after="0" w:line="228" w:lineRule="auto"/>
        <w:rPr>
          <w:rFonts w:ascii="Tahoma" w:hAnsi="Tahoma" w:cs="Tahoma"/>
          <w:b/>
        </w:rPr>
      </w:pPr>
      <w:r w:rsidRPr="00795639">
        <w:rPr>
          <w:rFonts w:ascii="Tahoma" w:hAnsi="Tahoma" w:cs="Tahoma"/>
          <w:b/>
        </w:rPr>
        <w:t>ESTADO DE ACTIVIDAD FINANCIERA, ECONÓMICA, SOCIAL Y AMBIENTAL COMPARATIVO</w:t>
      </w:r>
    </w:p>
    <w:p w:rsidR="00795639" w:rsidRPr="00AD4CE9" w:rsidRDefault="00795639" w:rsidP="00795639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7B422C" w:rsidRDefault="007B422C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7B422C" w:rsidRDefault="007B422C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7B422C" w:rsidRDefault="007B422C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7B422C" w:rsidRDefault="007B422C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E16EF6" w:rsidRPr="00AD4CE9" w:rsidRDefault="003719F1" w:rsidP="00AD4CE9">
      <w:pPr>
        <w:spacing w:before="0" w:after="0" w:line="228" w:lineRule="auto"/>
        <w:rPr>
          <w:rFonts w:ascii="Tahoma" w:hAnsi="Tahoma" w:cs="Tahoma"/>
        </w:rPr>
      </w:pPr>
      <w:r w:rsidRPr="003719F1">
        <w:rPr>
          <w:noProof/>
        </w:rPr>
        <w:drawing>
          <wp:inline distT="0" distB="0" distL="0" distR="0" wp14:anchorId="166A6C8A" wp14:editId="0BD2A5DB">
            <wp:extent cx="5613400" cy="6563284"/>
            <wp:effectExtent l="0" t="0" r="6350" b="952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6563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D7D" w:rsidRPr="00AD4CE9" w:rsidRDefault="00BC5D7D" w:rsidP="00AD4CE9">
      <w:pPr>
        <w:spacing w:before="0" w:after="0" w:line="228" w:lineRule="auto"/>
        <w:rPr>
          <w:rFonts w:ascii="Tahoma" w:hAnsi="Tahoma" w:cs="Tahoma"/>
        </w:rPr>
      </w:pPr>
    </w:p>
    <w:p w:rsidR="00E16EF6" w:rsidRPr="00AD4CE9" w:rsidRDefault="00E16EF6" w:rsidP="00AD4CE9">
      <w:pPr>
        <w:spacing w:before="0" w:after="0" w:line="228" w:lineRule="auto"/>
        <w:rPr>
          <w:rFonts w:ascii="Tahoma" w:hAnsi="Tahoma" w:cs="Tahoma"/>
        </w:rPr>
      </w:pPr>
    </w:p>
    <w:p w:rsidR="00E16EF6" w:rsidRPr="00AD4CE9" w:rsidRDefault="00E16EF6" w:rsidP="00AD4CE9">
      <w:pPr>
        <w:spacing w:before="0" w:after="0" w:line="228" w:lineRule="auto"/>
        <w:rPr>
          <w:rFonts w:ascii="Tahoma" w:hAnsi="Tahoma" w:cs="Tahoma"/>
        </w:rPr>
      </w:pPr>
    </w:p>
    <w:p w:rsidR="00E16EF6" w:rsidRDefault="00795639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inline distT="0" distB="0" distL="0" distR="0" wp14:anchorId="2B316D1F" wp14:editId="2233F855">
            <wp:extent cx="4584700" cy="3066415"/>
            <wp:effectExtent l="0" t="0" r="6350" b="635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306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533E" w:rsidRDefault="005D533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5D533E" w:rsidRDefault="005D533E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Analizado el Estado de Actividad Fi</w:t>
      </w:r>
      <w:r w:rsidR="00D6749B">
        <w:rPr>
          <w:rFonts w:ascii="Tahoma" w:hAnsi="Tahoma" w:cs="Tahoma"/>
        </w:rPr>
        <w:t>nanciera del Municipio de Villarrica</w:t>
      </w:r>
      <w:r>
        <w:rPr>
          <w:rFonts w:ascii="Tahoma" w:hAnsi="Tahoma" w:cs="Tahoma"/>
        </w:rPr>
        <w:t xml:space="preserve"> </w:t>
      </w:r>
      <w:r w:rsidR="006D20E4">
        <w:rPr>
          <w:rFonts w:ascii="Tahoma" w:hAnsi="Tahoma" w:cs="Tahoma"/>
        </w:rPr>
        <w:t xml:space="preserve">a 31 de diciembre de 2015 frente al resultado obtenido en el 2014, se puede determinar que los ingresos presentaron entre las dos vigencias un </w:t>
      </w:r>
      <w:r w:rsidR="00D6749B">
        <w:rPr>
          <w:rFonts w:ascii="Tahoma" w:hAnsi="Tahoma" w:cs="Tahoma"/>
        </w:rPr>
        <w:t>incremento del 1</w:t>
      </w:r>
      <w:r w:rsidR="00CE6795">
        <w:rPr>
          <w:rFonts w:ascii="Tahoma" w:hAnsi="Tahoma" w:cs="Tahoma"/>
        </w:rPr>
        <w:t xml:space="preserve">9.488 </w:t>
      </w:r>
      <w:r w:rsidR="00D6749B">
        <w:rPr>
          <w:rFonts w:ascii="Tahoma" w:hAnsi="Tahoma" w:cs="Tahoma"/>
        </w:rPr>
        <w:t xml:space="preserve"> </w:t>
      </w:r>
      <w:r w:rsidR="00CE6795">
        <w:rPr>
          <w:rFonts w:ascii="Tahoma" w:hAnsi="Tahoma" w:cs="Tahoma"/>
        </w:rPr>
        <w:t>(</w:t>
      </w:r>
      <w:r w:rsidR="00D6749B">
        <w:rPr>
          <w:rFonts w:ascii="Tahoma" w:hAnsi="Tahoma" w:cs="Tahoma"/>
        </w:rPr>
        <w:t>$1.416,5</w:t>
      </w:r>
      <w:r w:rsidR="006D20E4">
        <w:rPr>
          <w:rFonts w:ascii="Tahoma" w:hAnsi="Tahoma" w:cs="Tahoma"/>
        </w:rPr>
        <w:t xml:space="preserve"> millones</w:t>
      </w:r>
      <w:r w:rsidR="00CE6795">
        <w:rPr>
          <w:rFonts w:ascii="Tahoma" w:hAnsi="Tahoma" w:cs="Tahoma"/>
        </w:rPr>
        <w:t>)</w:t>
      </w:r>
      <w:r w:rsidR="005D66B0">
        <w:rPr>
          <w:rFonts w:ascii="Tahoma" w:hAnsi="Tahoma" w:cs="Tahoma"/>
        </w:rPr>
        <w:t xml:space="preserve">, </w:t>
      </w:r>
      <w:r w:rsidR="00D6749B">
        <w:rPr>
          <w:rFonts w:ascii="Tahoma" w:hAnsi="Tahoma" w:cs="Tahoma"/>
        </w:rPr>
        <w:t xml:space="preserve"> al pasar de $7.272,9</w:t>
      </w:r>
      <w:r w:rsidR="006D20E4">
        <w:rPr>
          <w:rFonts w:ascii="Tahoma" w:hAnsi="Tahoma" w:cs="Tahoma"/>
        </w:rPr>
        <w:t xml:space="preserve"> millones  </w:t>
      </w:r>
      <w:r w:rsidR="00D6749B">
        <w:rPr>
          <w:rFonts w:ascii="Tahoma" w:hAnsi="Tahoma" w:cs="Tahoma"/>
        </w:rPr>
        <w:t>en el 2014 a $8.689,4</w:t>
      </w:r>
      <w:r w:rsidR="00AA22C9">
        <w:rPr>
          <w:rFonts w:ascii="Tahoma" w:hAnsi="Tahoma" w:cs="Tahoma"/>
        </w:rPr>
        <w:t xml:space="preserve"> millones en el 2015, resultado que deja en evidencia la gestión que adelantó la administración municipal para recaudar los recursos propios.</w:t>
      </w:r>
    </w:p>
    <w:p w:rsidR="00AA22C9" w:rsidRDefault="00AA22C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D6749B" w:rsidRDefault="00800D36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Se detalla en el Estado de Actividad Financiera que el 73% de los ingresos que obtuvo el municipio en la vigencia 2015 corresponden a transferencias ($6.363,8 millones), presentando esta ultima un incremento del 13.33% frente a lo percibido en el 2014 ($5.615,3 millones).   Dentro de las transferencias se tiene los recursos que provienen del Sistema General de Participaciones, los cuales fueron cuantificados en la anualidad 2015 en $3.737,4 millones, correspondiendo al 58% de las transferencias percibidas por el municipio</w:t>
      </w:r>
      <w:r w:rsidR="004800F7">
        <w:rPr>
          <w:rFonts w:ascii="Tahoma" w:hAnsi="Tahoma" w:cs="Tahoma"/>
        </w:rPr>
        <w:t>, el saldo por este concepto presenta un incremento del 11.62%($389 millones) pasando de reconocer ingresos por éste concepto en cuantía de $3.348,3 millones a $3.737,4 en el 2015.</w:t>
      </w:r>
    </w:p>
    <w:p w:rsidR="004800F7" w:rsidRDefault="004800F7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4800F7" w:rsidRDefault="004800F7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Los sectores a los cuales se les asignó más recursos del Sistema General de Participaciones durante la vigencia 2015 fueron: Propósito General y Salud  </w:t>
      </w:r>
    </w:p>
    <w:p w:rsidR="00D6749B" w:rsidRDefault="00D6749B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D6749B" w:rsidRDefault="00D6749B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D6749B" w:rsidRDefault="00D6749B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D6749B" w:rsidRDefault="00D6749B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D6749B" w:rsidRDefault="00D6749B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D6749B" w:rsidRDefault="00D6749B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A22C9" w:rsidRDefault="00AA22C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Los recursos provenientes del Sis</w:t>
      </w:r>
      <w:r w:rsidR="00B21A6F">
        <w:rPr>
          <w:rFonts w:ascii="Tahoma" w:hAnsi="Tahoma" w:cs="Tahoma"/>
        </w:rPr>
        <w:t>tema General de Participaciones incrementaron en un 37.70% el saldo obtenido en</w:t>
      </w:r>
      <w:r w:rsidR="009471EB">
        <w:rPr>
          <w:rFonts w:ascii="Tahoma" w:hAnsi="Tahoma" w:cs="Tahoma"/>
        </w:rPr>
        <w:t xml:space="preserve"> la vigencia 2014, finalizando la anualidad (2015) con saldo $26.257,1 millones.  Los recursos provenientes de Regalías mantuvieron de igual forma un crecimiento positivo del 35.76%pasando de $9.907,4 millones en el 2014 a $13.450.1 millones en el 2015.</w:t>
      </w:r>
    </w:p>
    <w:p w:rsidR="005D533E" w:rsidRDefault="005D533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5D533E" w:rsidRDefault="009471EB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Los gastos al igual que los ingresos mantuvieron un crecimiento proporcional alcanzando un mayor valor de $12.035,4 millones entre las dos vigencias.  Dentro de este grupo de cuentas resalta el incremento de saldos de las cuentas “Impuestos, Contribuciones y Tasas” y </w:t>
      </w:r>
      <w:r w:rsidR="000E42DA">
        <w:rPr>
          <w:rFonts w:ascii="Tahoma" w:hAnsi="Tahoma" w:cs="Tahoma"/>
        </w:rPr>
        <w:t>“Operaciones Interinstitucionales “las cuales finalizaron con incrementos del 565% y 447.2% respectivamente.</w:t>
      </w:r>
    </w:p>
    <w:p w:rsidR="000E42DA" w:rsidRDefault="000E42DA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5D533E" w:rsidRDefault="005D533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5D533E" w:rsidRDefault="0055694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En el  </w:t>
      </w:r>
      <w:r w:rsidR="00E35BA6">
        <w:rPr>
          <w:rFonts w:ascii="Tahoma" w:hAnsi="Tahoma" w:cs="Tahoma"/>
        </w:rPr>
        <w:t>“Gasto Público Social”</w:t>
      </w:r>
      <w:r>
        <w:rPr>
          <w:rFonts w:ascii="Tahoma" w:hAnsi="Tahoma" w:cs="Tahoma"/>
        </w:rPr>
        <w:t>, la cuenta de mayor representatividad fue la de “Vivienda” registrando un crecimiento  porcentual de 1.96%, al pasar de una inversión de $13.550 millones a $175.663 millones.  En cuanto a los sectores de Cultura y Desarrollo Económico  demandaron un incremento en sus saldos del 87.85% y 83.57%  respectivamente, mientras que los sectores de Educación y Salud tan solo alcanzaron un incremento en sus saldos del 8.79% y 18.77%.</w:t>
      </w:r>
    </w:p>
    <w:p w:rsidR="00BC5D7D" w:rsidRPr="00AD4CE9" w:rsidRDefault="00BC5D7D" w:rsidP="00AD4CE9">
      <w:pPr>
        <w:spacing w:before="0" w:after="0" w:line="228" w:lineRule="auto"/>
        <w:rPr>
          <w:rFonts w:ascii="Tahoma" w:hAnsi="Tahoma" w:cs="Tahoma"/>
        </w:rPr>
      </w:pPr>
    </w:p>
    <w:p w:rsidR="00BC5D7D" w:rsidRPr="00AD4CE9" w:rsidRDefault="00814D3D" w:rsidP="00383FAE">
      <w:pPr>
        <w:pStyle w:val="Prrafodelista"/>
        <w:numPr>
          <w:ilvl w:val="0"/>
          <w:numId w:val="2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APLICACIÓN DE INDICADORES FINANCIEROS</w:t>
      </w:r>
    </w:p>
    <w:p w:rsidR="00814D3D" w:rsidRPr="00AD4CE9" w:rsidRDefault="00814D3D" w:rsidP="00AD4CE9">
      <w:pPr>
        <w:spacing w:before="0" w:after="0" w:line="228" w:lineRule="auto"/>
        <w:rPr>
          <w:rFonts w:ascii="Tahoma" w:hAnsi="Tahoma" w:cs="Tahoma"/>
        </w:rPr>
      </w:pPr>
    </w:p>
    <w:p w:rsidR="00814D3D" w:rsidRPr="00AD4CE9" w:rsidRDefault="00814D3D" w:rsidP="00383FAE">
      <w:pPr>
        <w:pStyle w:val="Prrafodelista"/>
        <w:numPr>
          <w:ilvl w:val="1"/>
          <w:numId w:val="2"/>
        </w:num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Indicadores de liquidez y Solvencia</w:t>
      </w:r>
    </w:p>
    <w:p w:rsidR="00814D3D" w:rsidRPr="00AD4CE9" w:rsidRDefault="00814D3D" w:rsidP="00AD4CE9">
      <w:pPr>
        <w:spacing w:before="0" w:after="0" w:line="228" w:lineRule="auto"/>
        <w:rPr>
          <w:rFonts w:ascii="Tahoma" w:hAnsi="Tahoma" w:cs="Tahoma"/>
        </w:rPr>
      </w:pPr>
    </w:p>
    <w:p w:rsidR="00814D3D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</w:t>
      </w:r>
      <w:r w:rsidR="00814D3D" w:rsidRPr="00AD4CE9">
        <w:rPr>
          <w:rFonts w:ascii="Tahoma" w:hAnsi="Tahoma" w:cs="Tahoma"/>
        </w:rPr>
        <w:t xml:space="preserve"> Corriente: nos muestra la capacidad que tiene la entidad</w:t>
      </w:r>
      <w:r w:rsidRPr="00AD4CE9">
        <w:rPr>
          <w:rFonts w:ascii="Tahoma" w:hAnsi="Tahoma" w:cs="Tahoma"/>
        </w:rPr>
        <w:t xml:space="preserve"> para cubrir sus deudas en el corto plazo, ya que indica por cada peso que se debe, con cuantos se cuenta para respaldarlo.</w:t>
      </w: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/ Pasivo Corriente</w:t>
      </w: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Activo Corriente:</w:t>
      </w:r>
    </w:p>
    <w:p w:rsidR="00160B31" w:rsidRPr="00AD4CE9" w:rsidRDefault="0055694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$</w:t>
      </w:r>
      <w:r w:rsidR="00074EF9">
        <w:rPr>
          <w:rFonts w:ascii="Tahoma" w:hAnsi="Tahoma" w:cs="Tahoma"/>
        </w:rPr>
        <w:t>20.316,286</w:t>
      </w:r>
    </w:p>
    <w:p w:rsidR="00160B31" w:rsidRPr="00AD4CE9" w:rsidRDefault="0055694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Renta por Cobrar</w:t>
      </w:r>
      <w:r>
        <w:rPr>
          <w:rFonts w:ascii="Tahoma" w:hAnsi="Tahoma" w:cs="Tahoma"/>
        </w:rPr>
        <w:tab/>
        <w:t xml:space="preserve">  </w:t>
      </w:r>
      <w:r w:rsidR="003D5BDF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9.</w:t>
      </w:r>
      <w:r w:rsidR="00074EF9">
        <w:rPr>
          <w:rFonts w:ascii="Tahoma" w:hAnsi="Tahoma" w:cs="Tahoma"/>
        </w:rPr>
        <w:t>838.042</w:t>
      </w:r>
      <w:r>
        <w:rPr>
          <w:rFonts w:ascii="Tahoma" w:hAnsi="Tahoma" w:cs="Tahoma"/>
        </w:rPr>
        <w:t xml:space="preserve"> </w:t>
      </w:r>
    </w:p>
    <w:p w:rsidR="001666F5" w:rsidRPr="00AD4CE9" w:rsidRDefault="001666F5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Deudores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 xml:space="preserve"> </w:t>
      </w:r>
      <w:r w:rsidR="003D5BDF">
        <w:rPr>
          <w:rFonts w:ascii="Tahoma" w:hAnsi="Tahoma" w:cs="Tahoma"/>
        </w:rPr>
        <w:t xml:space="preserve"> 20.432,071    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>----------------</w:t>
      </w:r>
      <w:r w:rsidR="000467A1" w:rsidRPr="00AD4CE9">
        <w:rPr>
          <w:rFonts w:ascii="Tahoma" w:hAnsi="Tahoma" w:cs="Tahoma"/>
        </w:rPr>
        <w:t>----</w:t>
      </w:r>
    </w:p>
    <w:p w:rsidR="001666F5" w:rsidRPr="00AD4CE9" w:rsidRDefault="003D5BDF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$50.586.399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Pasivo Corriente: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Op</w:t>
      </w:r>
      <w:r w:rsidR="000467A1" w:rsidRPr="00AD4CE9">
        <w:rPr>
          <w:rFonts w:ascii="Tahoma" w:hAnsi="Tahoma" w:cs="Tahoma"/>
        </w:rPr>
        <w:t>eracion</w:t>
      </w:r>
      <w:r w:rsidR="003D5BDF">
        <w:rPr>
          <w:rFonts w:ascii="Tahoma" w:hAnsi="Tahoma" w:cs="Tahoma"/>
        </w:rPr>
        <w:t>es de crédito publico</w:t>
      </w:r>
      <w:r w:rsidR="003D5BDF">
        <w:rPr>
          <w:rFonts w:ascii="Tahoma" w:hAnsi="Tahoma" w:cs="Tahoma"/>
        </w:rPr>
        <w:tab/>
      </w:r>
      <w:r w:rsidR="003D5BDF">
        <w:rPr>
          <w:rFonts w:ascii="Tahoma" w:hAnsi="Tahoma" w:cs="Tahoma"/>
        </w:rPr>
        <w:tab/>
        <w:t>$ 13.747,591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lastRenderedPageBreak/>
        <w:t>Cuentas por Pagar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 xml:space="preserve">  </w:t>
      </w:r>
      <w:r w:rsidR="003D5BDF">
        <w:rPr>
          <w:rFonts w:ascii="Tahoma" w:hAnsi="Tahoma" w:cs="Tahoma"/>
        </w:rPr>
        <w:t xml:space="preserve"> 28,121,057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Obligaciones Laborales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="000467A1" w:rsidRPr="00AD4CE9">
        <w:rPr>
          <w:rFonts w:ascii="Tahoma" w:hAnsi="Tahoma" w:cs="Tahoma"/>
        </w:rPr>
        <w:t xml:space="preserve">    </w:t>
      </w:r>
      <w:r w:rsidRPr="00AD4CE9">
        <w:rPr>
          <w:rFonts w:ascii="Tahoma" w:hAnsi="Tahoma" w:cs="Tahoma"/>
        </w:rPr>
        <w:t xml:space="preserve"> </w:t>
      </w:r>
      <w:r w:rsidR="003D5BDF">
        <w:rPr>
          <w:rFonts w:ascii="Tahoma" w:hAnsi="Tahoma" w:cs="Tahoma"/>
        </w:rPr>
        <w:t xml:space="preserve">  421,729</w:t>
      </w:r>
    </w:p>
    <w:p w:rsidR="001666F5" w:rsidRPr="00AD4CE9" w:rsidRDefault="000467A1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    </w:t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 xml:space="preserve">          ---</w:t>
      </w:r>
      <w:r w:rsidR="001666F5" w:rsidRPr="00AD4CE9">
        <w:rPr>
          <w:rFonts w:ascii="Tahoma" w:hAnsi="Tahoma" w:cs="Tahoma"/>
        </w:rPr>
        <w:t>----------------</w:t>
      </w:r>
    </w:p>
    <w:p w:rsidR="001666F5" w:rsidRPr="00AD4CE9" w:rsidRDefault="003D5BDF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$ 42,290,377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</w:p>
    <w:p w:rsidR="001666F5" w:rsidRPr="00AD4CE9" w:rsidRDefault="003D5BDF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Razón Corriente  $50,586,399 / $42,290,377</w:t>
      </w:r>
      <w:r w:rsidR="001666F5" w:rsidRPr="00AD4CE9">
        <w:rPr>
          <w:rFonts w:ascii="Tahoma" w:hAnsi="Tahoma" w:cs="Tahoma"/>
        </w:rPr>
        <w:t xml:space="preserve"> = </w:t>
      </w:r>
      <w:r w:rsidR="008A0D90">
        <w:rPr>
          <w:rFonts w:ascii="Tahoma" w:hAnsi="Tahoma" w:cs="Tahoma"/>
        </w:rPr>
        <w:t>1,19</w:t>
      </w:r>
    </w:p>
    <w:p w:rsidR="00A7456E" w:rsidRPr="00AD4CE9" w:rsidRDefault="00A7456E" w:rsidP="00AD4CE9">
      <w:pPr>
        <w:spacing w:before="0" w:after="0" w:line="228" w:lineRule="auto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anterior resultado nos muestra que por cada peso que</w:t>
      </w:r>
      <w:r w:rsidR="008A0D90">
        <w:rPr>
          <w:rFonts w:ascii="Tahoma" w:hAnsi="Tahoma" w:cs="Tahoma"/>
        </w:rPr>
        <w:t xml:space="preserve"> la Administración Municipal de Melgar</w:t>
      </w:r>
      <w:r w:rsidR="00204E7B" w:rsidRPr="00AD4CE9">
        <w:rPr>
          <w:rFonts w:ascii="Tahoma" w:hAnsi="Tahoma" w:cs="Tahoma"/>
        </w:rPr>
        <w:t xml:space="preserve"> </w:t>
      </w:r>
      <w:r w:rsidRPr="00AD4CE9">
        <w:rPr>
          <w:rFonts w:ascii="Tahoma" w:hAnsi="Tahoma" w:cs="Tahoma"/>
        </w:rPr>
        <w:t xml:space="preserve"> debe a corto plazo, cuenta con </w:t>
      </w:r>
      <w:r w:rsidR="008A0D90">
        <w:rPr>
          <w:rFonts w:ascii="Tahoma" w:hAnsi="Tahoma" w:cs="Tahoma"/>
        </w:rPr>
        <w:t>1,19</w:t>
      </w:r>
      <w:r w:rsidR="00204E7B" w:rsidRPr="00AD4CE9">
        <w:rPr>
          <w:rFonts w:ascii="Tahoma" w:hAnsi="Tahoma" w:cs="Tahoma"/>
        </w:rPr>
        <w:t xml:space="preserve"> </w:t>
      </w:r>
      <w:r w:rsidRPr="00AD4CE9">
        <w:rPr>
          <w:rFonts w:ascii="Tahoma" w:hAnsi="Tahoma" w:cs="Tahoma"/>
        </w:rPr>
        <w:t xml:space="preserve"> pesos en activos corriente para cubrirlos, lo que significa que el mencionado munic</w:t>
      </w:r>
      <w:r w:rsidR="008A0D90">
        <w:rPr>
          <w:rFonts w:ascii="Tahoma" w:hAnsi="Tahoma" w:cs="Tahoma"/>
        </w:rPr>
        <w:t xml:space="preserve">ipio refleja liquidez </w:t>
      </w:r>
      <w:r w:rsidRPr="00AD4CE9">
        <w:rPr>
          <w:rFonts w:ascii="Tahoma" w:hAnsi="Tahoma" w:cs="Tahoma"/>
        </w:rPr>
        <w:t xml:space="preserve"> para cubrir sus pasivos de corto plazo.</w:t>
      </w:r>
    </w:p>
    <w:p w:rsidR="00A7456E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A0D90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A0D90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A0D90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A0D90" w:rsidRPr="00AD4CE9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CAPITAL NETO DE TRABAJO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– Pasivo Corriente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8A0D90" w:rsidP="008A0D90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$50.586.399 - $42,290,377</w:t>
      </w:r>
      <w:r w:rsidR="00204E7B" w:rsidRPr="00AD4CE9">
        <w:rPr>
          <w:rFonts w:ascii="Tahoma" w:hAnsi="Tahoma" w:cs="Tahoma"/>
        </w:rPr>
        <w:t xml:space="preserve"> </w:t>
      </w:r>
      <w:r w:rsidR="00A7456E" w:rsidRPr="00AD4CE9">
        <w:rPr>
          <w:rFonts w:ascii="Tahoma" w:hAnsi="Tahoma" w:cs="Tahoma"/>
        </w:rPr>
        <w:t>= $</w:t>
      </w:r>
      <w:r>
        <w:rPr>
          <w:rFonts w:ascii="Tahoma" w:hAnsi="Tahoma" w:cs="Tahoma"/>
        </w:rPr>
        <w:t>8,296,022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anterior resultado nos indica que el ente territorial cuenta con suficientes recursos propios para operar.</w:t>
      </w:r>
    </w:p>
    <w:p w:rsidR="008A0D90" w:rsidRPr="00AD4CE9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NIVEL DE ENDEUDAMIENTO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Este indicador nos presenta el porcentaje de participación de los acreedores dentro de los activos del ente territorial.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Pasivo Total con Terceros / Activo Total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402C3D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42,290,377 / 259,929,361</w:t>
      </w:r>
      <w:r w:rsidR="008A1B70" w:rsidRPr="00AD4CE9">
        <w:rPr>
          <w:rFonts w:ascii="Tahoma" w:hAnsi="Tahoma" w:cs="Tahoma"/>
        </w:rPr>
        <w:t xml:space="preserve"> </w:t>
      </w:r>
      <w:r w:rsidR="003E25A9" w:rsidRPr="00AD4CE9">
        <w:rPr>
          <w:rFonts w:ascii="Tahoma" w:hAnsi="Tahoma" w:cs="Tahoma"/>
        </w:rPr>
        <w:t xml:space="preserve">= </w:t>
      </w:r>
      <w:r>
        <w:rPr>
          <w:rFonts w:ascii="Tahoma" w:hAnsi="Tahoma" w:cs="Tahoma"/>
        </w:rPr>
        <w:t>16.26</w:t>
      </w:r>
      <w:r w:rsidR="003E25A9" w:rsidRPr="00AD4CE9">
        <w:rPr>
          <w:rFonts w:ascii="Tahoma" w:hAnsi="Tahoma" w:cs="Tahoma"/>
        </w:rPr>
        <w:t>%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El anterior resultado nos indica que del total de activos que posee el municipio, el </w:t>
      </w:r>
      <w:r w:rsidR="00402C3D">
        <w:rPr>
          <w:rFonts w:ascii="Tahoma" w:hAnsi="Tahoma" w:cs="Tahoma"/>
        </w:rPr>
        <w:t>16.26</w:t>
      </w:r>
      <w:r w:rsidRPr="00AD4CE9">
        <w:rPr>
          <w:rFonts w:ascii="Tahoma" w:hAnsi="Tahoma" w:cs="Tahoma"/>
        </w:rPr>
        <w:t>% está siendo financiado por los acreedores.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 DEL PATRIMONIO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lastRenderedPageBreak/>
        <w:t xml:space="preserve">Nos muestra hasta </w:t>
      </w:r>
      <w:r w:rsidR="009F3F48" w:rsidRPr="00AD4CE9">
        <w:rPr>
          <w:rFonts w:ascii="Tahoma" w:hAnsi="Tahoma" w:cs="Tahoma"/>
        </w:rPr>
        <w:t>qué</w:t>
      </w:r>
      <w:r w:rsidRPr="00AD4CE9">
        <w:rPr>
          <w:rFonts w:ascii="Tahoma" w:hAnsi="Tahoma" w:cs="Tahoma"/>
        </w:rPr>
        <w:t xml:space="preserve"> punto la entidad territorial tiene independencia financiera ante sus acreedores, se determina dividiendo el valor del patrimonio entre el activo total.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Patrimonio Total / Activo Total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764ABD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$</w:t>
      </w:r>
      <w:r w:rsidR="00402C3D">
        <w:rPr>
          <w:rFonts w:ascii="Tahoma" w:hAnsi="Tahoma" w:cs="Tahoma"/>
        </w:rPr>
        <w:t>196,699,035 /259,929,361</w:t>
      </w:r>
      <w:r w:rsidR="005A36ED" w:rsidRPr="00AD4CE9">
        <w:rPr>
          <w:rFonts w:ascii="Tahoma" w:hAnsi="Tahoma" w:cs="Tahoma"/>
        </w:rPr>
        <w:t xml:space="preserve"> </w:t>
      </w:r>
      <w:r w:rsidR="00402C3D">
        <w:rPr>
          <w:rFonts w:ascii="Tahoma" w:hAnsi="Tahoma" w:cs="Tahoma"/>
        </w:rPr>
        <w:t>= 75.67</w:t>
      </w:r>
      <w:r w:rsidRPr="00AD4CE9">
        <w:rPr>
          <w:rFonts w:ascii="Tahoma" w:hAnsi="Tahoma" w:cs="Tahoma"/>
        </w:rPr>
        <w:t>%</w:t>
      </w:r>
    </w:p>
    <w:p w:rsidR="008326D2" w:rsidRPr="00AD4CE9" w:rsidRDefault="008326D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326D2" w:rsidRPr="00AD4CE9" w:rsidRDefault="008326D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porcentaje establecido a</w:t>
      </w:r>
      <w:r w:rsidR="00402C3D">
        <w:rPr>
          <w:rFonts w:ascii="Tahoma" w:hAnsi="Tahoma" w:cs="Tahoma"/>
        </w:rPr>
        <w:t>nteriormente nos indica que el 75.67</w:t>
      </w:r>
      <w:r w:rsidRPr="00AD4CE9">
        <w:rPr>
          <w:rFonts w:ascii="Tahoma" w:hAnsi="Tahoma" w:cs="Tahoma"/>
        </w:rPr>
        <w:t>% de los activos, están siendo financiados con capital propio.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Pr="00AD4CE9" w:rsidRDefault="006756E8" w:rsidP="00383FAE">
      <w:pPr>
        <w:pStyle w:val="Prrafodelista"/>
        <w:numPr>
          <w:ilvl w:val="0"/>
          <w:numId w:val="2"/>
        </w:numPr>
        <w:spacing w:before="0" w:after="0" w:line="228" w:lineRule="auto"/>
        <w:jc w:val="both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CONCEPTUALIZACION SO</w:t>
      </w:r>
      <w:r w:rsidR="00402C3D">
        <w:rPr>
          <w:rFonts w:ascii="Tahoma" w:hAnsi="Tahoma" w:cs="Tahoma"/>
          <w:b/>
        </w:rPr>
        <w:t>BRE LOS ESTADOS FINANCIEROS 2015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Pr="00AD4CE9" w:rsidRDefault="00402C3D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municipio de Melgar </w:t>
      </w:r>
      <w:r w:rsidR="006756E8" w:rsidRPr="00AD4CE9">
        <w:rPr>
          <w:rFonts w:ascii="Tahoma" w:hAnsi="Tahoma" w:cs="Tahoma"/>
        </w:rPr>
        <w:t xml:space="preserve"> de</w:t>
      </w:r>
      <w:r w:rsidR="005A36ED" w:rsidRPr="00AD4CE9">
        <w:rPr>
          <w:rFonts w:ascii="Tahoma" w:hAnsi="Tahoma" w:cs="Tahoma"/>
        </w:rPr>
        <w:t xml:space="preserve"> </w:t>
      </w:r>
      <w:r w:rsidR="006756E8" w:rsidRPr="00AD4CE9">
        <w:rPr>
          <w:rFonts w:ascii="Tahoma" w:hAnsi="Tahoma" w:cs="Tahoma"/>
        </w:rPr>
        <w:t xml:space="preserve">acuerdo con su Balance General terminado en la fecha, se observa que sus activos totales crecieron un </w:t>
      </w:r>
      <w:r>
        <w:rPr>
          <w:rFonts w:ascii="Tahoma" w:hAnsi="Tahoma" w:cs="Tahoma"/>
        </w:rPr>
        <w:t xml:space="preserve">15.42% en la suma de  $34.734.634 </w:t>
      </w:r>
      <w:r w:rsidR="006756E8" w:rsidRPr="00AD4CE9">
        <w:rPr>
          <w:rFonts w:ascii="Tahoma" w:hAnsi="Tahoma" w:cs="Tahoma"/>
        </w:rPr>
        <w:t>(mi</w:t>
      </w:r>
      <w:r>
        <w:rPr>
          <w:rFonts w:ascii="Tahoma" w:hAnsi="Tahoma" w:cs="Tahoma"/>
        </w:rPr>
        <w:t>l</w:t>
      </w:r>
      <w:r w:rsidR="006756E8" w:rsidRPr="00AD4CE9">
        <w:rPr>
          <w:rFonts w:ascii="Tahoma" w:hAnsi="Tahoma" w:cs="Tahoma"/>
        </w:rPr>
        <w:t xml:space="preserve">es de </w:t>
      </w:r>
      <w:r>
        <w:rPr>
          <w:rFonts w:ascii="Tahoma" w:hAnsi="Tahoma" w:cs="Tahoma"/>
        </w:rPr>
        <w:t>$), con relación al periodo 2014</w:t>
      </w:r>
      <w:r w:rsidR="006756E8" w:rsidRPr="00AD4CE9">
        <w:rPr>
          <w:rFonts w:ascii="Tahoma" w:hAnsi="Tahoma" w:cs="Tahoma"/>
        </w:rPr>
        <w:t>, reflejados en las cuentas Depósitos en Instituciones Financieras y Deudores.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Default="00402C3D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 patrimonio creció un 6,11</w:t>
      </w:r>
      <w:r w:rsidR="006756E8" w:rsidRPr="00AD4CE9">
        <w:rPr>
          <w:rFonts w:ascii="Tahoma" w:hAnsi="Tahoma" w:cs="Tahoma"/>
        </w:rPr>
        <w:t>%, apalancado principalmente por la cuenta Resultados del Ejercicio</w:t>
      </w:r>
      <w:r w:rsidR="000D2062" w:rsidRPr="00AD4CE9">
        <w:rPr>
          <w:rFonts w:ascii="Tahoma" w:hAnsi="Tahoma" w:cs="Tahoma"/>
        </w:rPr>
        <w:t xml:space="preserve"> que presenta un excedente por la suma de $</w:t>
      </w:r>
      <w:r>
        <w:rPr>
          <w:rFonts w:ascii="Tahoma" w:hAnsi="Tahoma" w:cs="Tahoma"/>
        </w:rPr>
        <w:t>19,225,5</w:t>
      </w:r>
      <w:r w:rsidR="000D2062" w:rsidRPr="00AD4CE9">
        <w:rPr>
          <w:rFonts w:ascii="Tahoma" w:hAnsi="Tahoma" w:cs="Tahoma"/>
        </w:rPr>
        <w:t xml:space="preserve"> miles de $.</w:t>
      </w:r>
    </w:p>
    <w:p w:rsidR="00AD4CE9" w:rsidRPr="00AD4CE9" w:rsidRDefault="00AD4CE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Su estructura financiera al </w:t>
      </w:r>
      <w:r w:rsidR="00402C3D">
        <w:rPr>
          <w:rFonts w:ascii="Tahoma" w:hAnsi="Tahoma" w:cs="Tahoma"/>
        </w:rPr>
        <w:t>cierre del periodo contable 2015</w:t>
      </w:r>
      <w:r w:rsidRPr="00AD4CE9">
        <w:rPr>
          <w:rFonts w:ascii="Tahoma" w:hAnsi="Tahoma" w:cs="Tahoma"/>
        </w:rPr>
        <w:t>, estaba representada en el 1</w:t>
      </w:r>
      <w:r w:rsidR="00402C3D">
        <w:rPr>
          <w:rFonts w:ascii="Tahoma" w:hAnsi="Tahoma" w:cs="Tahoma"/>
        </w:rPr>
        <w:t>24.32% los pasivos y el 75.68</w:t>
      </w:r>
      <w:r w:rsidRPr="00AD4CE9">
        <w:rPr>
          <w:rFonts w:ascii="Tahoma" w:hAnsi="Tahoma" w:cs="Tahoma"/>
        </w:rPr>
        <w:t>% el patrimonio.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El municipio presenta un nivel de endeudamiento bajo respecto al total de sus activos, alcanzando un margen del </w:t>
      </w:r>
      <w:r w:rsidR="00402C3D">
        <w:rPr>
          <w:rFonts w:ascii="Tahoma" w:hAnsi="Tahoma" w:cs="Tahoma"/>
        </w:rPr>
        <w:t>16.26</w:t>
      </w:r>
      <w:r w:rsidRPr="00AD4CE9">
        <w:rPr>
          <w:rFonts w:ascii="Tahoma" w:hAnsi="Tahoma" w:cs="Tahoma"/>
        </w:rPr>
        <w:t>%.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De acuerdo con los resultados de sus indicadores </w:t>
      </w:r>
      <w:r w:rsidR="00C83948" w:rsidRPr="00AD4CE9">
        <w:rPr>
          <w:rFonts w:ascii="Tahoma" w:hAnsi="Tahoma" w:cs="Tahoma"/>
        </w:rPr>
        <w:t>podemo</w:t>
      </w:r>
      <w:r w:rsidR="00273691">
        <w:rPr>
          <w:rFonts w:ascii="Tahoma" w:hAnsi="Tahoma" w:cs="Tahoma"/>
        </w:rPr>
        <w:t>s concl</w:t>
      </w:r>
      <w:r w:rsidR="00402C3D">
        <w:rPr>
          <w:rFonts w:ascii="Tahoma" w:hAnsi="Tahoma" w:cs="Tahoma"/>
        </w:rPr>
        <w:t>uir que el municipio de Melgar</w:t>
      </w:r>
      <w:r w:rsidR="00273691">
        <w:rPr>
          <w:rFonts w:ascii="Tahoma" w:hAnsi="Tahoma" w:cs="Tahoma"/>
        </w:rPr>
        <w:t xml:space="preserve"> </w:t>
      </w:r>
      <w:r w:rsidR="00C83948" w:rsidRPr="00AD4CE9">
        <w:rPr>
          <w:rFonts w:ascii="Tahoma" w:hAnsi="Tahoma" w:cs="Tahoma"/>
        </w:rPr>
        <w:t>al corte del 3</w:t>
      </w:r>
      <w:r w:rsidR="00273691">
        <w:rPr>
          <w:rFonts w:ascii="Tahoma" w:hAnsi="Tahoma" w:cs="Tahoma"/>
        </w:rPr>
        <w:t>1</w:t>
      </w:r>
      <w:r w:rsidR="00402C3D">
        <w:rPr>
          <w:rFonts w:ascii="Tahoma" w:hAnsi="Tahoma" w:cs="Tahoma"/>
        </w:rPr>
        <w:t xml:space="preserve"> de diciembre de 2015</w:t>
      </w:r>
      <w:r w:rsidR="00C83948" w:rsidRPr="00AD4CE9">
        <w:rPr>
          <w:rFonts w:ascii="Tahoma" w:hAnsi="Tahoma" w:cs="Tahoma"/>
        </w:rPr>
        <w:t>, presentaba una situación financiera favorable.</w:t>
      </w:r>
    </w:p>
    <w:sectPr w:rsidR="00A7456E" w:rsidRPr="00AD4CE9" w:rsidSect="003A1104">
      <w:headerReference w:type="default" r:id="rId11"/>
      <w:footerReference w:type="default" r:id="rId12"/>
      <w:pgSz w:w="12242" w:h="15842" w:code="1"/>
      <w:pgMar w:top="2376" w:right="1701" w:bottom="2268" w:left="1701" w:header="18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361" w:rsidRDefault="007F1361" w:rsidP="00650A99">
      <w:r>
        <w:separator/>
      </w:r>
    </w:p>
  </w:endnote>
  <w:endnote w:type="continuationSeparator" w:id="0">
    <w:p w:rsidR="007F1361" w:rsidRDefault="007F1361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1" w:rsidRPr="00070555" w:rsidRDefault="002F54E8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088F8C6" wp14:editId="41BC8737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Pr="003205FF" w:rsidRDefault="00440EAB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="003205FF"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E20AD8" w:rsidRPr="00E20AD8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5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="003205FF"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="00E20AD8">
                            <w:fldChar w:fldCharType="begin"/>
                          </w:r>
                          <w:r w:rsidR="00E20AD8">
                            <w:instrText>NUMPAGES  \* Arabic  \* MERGEFORMAT</w:instrText>
                          </w:r>
                          <w:r w:rsidR="00E20AD8">
                            <w:fldChar w:fldCharType="separate"/>
                          </w:r>
                          <w:r w:rsidR="00E20AD8" w:rsidRPr="00E20AD8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8</w:t>
                          </w:r>
                          <w:r w:rsidR="00E20AD8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88F8C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DD0981" w:rsidRPr="003205FF" w:rsidRDefault="00440EAB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="003205FF"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E20AD8" w:rsidRPr="00E20AD8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5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="003205FF"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r w:rsidR="00E20AD8">
                      <w:fldChar w:fldCharType="begin"/>
                    </w:r>
                    <w:r w:rsidR="00E20AD8">
                      <w:instrText>NUMPAGES  \* Arabic  \* MERGEFORMAT</w:instrText>
                    </w:r>
                    <w:r w:rsidR="00E20AD8">
                      <w:fldChar w:fldCharType="separate"/>
                    </w:r>
                    <w:r w:rsidR="00E20AD8" w:rsidRPr="00E20AD8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8</w:t>
                    </w:r>
                    <w:r w:rsidR="00E20AD8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89C272A" wp14:editId="19975C76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Default="00DD09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9C272A"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DD0981" w:rsidRDefault="00DD0981"/>
                </w:txbxContent>
              </v:textbox>
            </v:shape>
          </w:pict>
        </mc:Fallback>
      </mc:AlternateContent>
    </w:r>
  </w:p>
  <w:p w:rsidR="00DD0981" w:rsidRPr="00070555" w:rsidRDefault="002F54E8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EC2EB6A" wp14:editId="76CE2576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3205FF" w:rsidRPr="003205FF" w:rsidRDefault="00E20AD8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3205FF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DD0981" w:rsidRPr="000352F0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Web-Site: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DD0981" w:rsidRPr="00A926CE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C2EB6A"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3205FF" w:rsidRPr="003205FF" w:rsidRDefault="00E20AD8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3205FF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DD0981" w:rsidRPr="000352F0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Web-Site: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DD0981" w:rsidRPr="00A926CE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361" w:rsidRDefault="007F1361" w:rsidP="00650A99">
      <w:r>
        <w:separator/>
      </w:r>
    </w:p>
  </w:footnote>
  <w:footnote w:type="continuationSeparator" w:id="0">
    <w:p w:rsidR="007F1361" w:rsidRDefault="007F1361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1" w:rsidRDefault="003A1104">
    <w:pPr>
      <w:pStyle w:val="Encabezado"/>
    </w:pPr>
    <w:r>
      <w:rPr>
        <w:noProof/>
      </w:rPr>
      <w:drawing>
        <wp:inline distT="0" distB="0" distL="0" distR="0" wp14:anchorId="79545A46" wp14:editId="34183A7F">
          <wp:extent cx="1571625" cy="1219200"/>
          <wp:effectExtent l="0" t="0" r="9525" b="0"/>
          <wp:docPr id="1" name="0 Image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 Image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72974DFA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14DDB"/>
    <w:rsid w:val="000167CA"/>
    <w:rsid w:val="00025419"/>
    <w:rsid w:val="0003468E"/>
    <w:rsid w:val="000352F0"/>
    <w:rsid w:val="00043E5E"/>
    <w:rsid w:val="00044B50"/>
    <w:rsid w:val="000467A1"/>
    <w:rsid w:val="000479B3"/>
    <w:rsid w:val="0005757F"/>
    <w:rsid w:val="00062A7C"/>
    <w:rsid w:val="00063566"/>
    <w:rsid w:val="000645F4"/>
    <w:rsid w:val="00070555"/>
    <w:rsid w:val="0007281C"/>
    <w:rsid w:val="00073152"/>
    <w:rsid w:val="000732A3"/>
    <w:rsid w:val="00074463"/>
    <w:rsid w:val="00074EF9"/>
    <w:rsid w:val="00081AAB"/>
    <w:rsid w:val="00084FFA"/>
    <w:rsid w:val="000913E2"/>
    <w:rsid w:val="000A4FDA"/>
    <w:rsid w:val="000A5F72"/>
    <w:rsid w:val="000B2584"/>
    <w:rsid w:val="000C640F"/>
    <w:rsid w:val="000C699D"/>
    <w:rsid w:val="000D2062"/>
    <w:rsid w:val="000D715E"/>
    <w:rsid w:val="000E117C"/>
    <w:rsid w:val="000E1460"/>
    <w:rsid w:val="000E42DA"/>
    <w:rsid w:val="000E46FA"/>
    <w:rsid w:val="000F17B4"/>
    <w:rsid w:val="000F4FA1"/>
    <w:rsid w:val="001077DC"/>
    <w:rsid w:val="00124F58"/>
    <w:rsid w:val="001301DF"/>
    <w:rsid w:val="00131E4E"/>
    <w:rsid w:val="00132C47"/>
    <w:rsid w:val="0013431C"/>
    <w:rsid w:val="001361E3"/>
    <w:rsid w:val="0014091C"/>
    <w:rsid w:val="001531E5"/>
    <w:rsid w:val="00154430"/>
    <w:rsid w:val="00156BDB"/>
    <w:rsid w:val="001605A0"/>
    <w:rsid w:val="001605F1"/>
    <w:rsid w:val="00160B31"/>
    <w:rsid w:val="001666F5"/>
    <w:rsid w:val="0017250D"/>
    <w:rsid w:val="001A5473"/>
    <w:rsid w:val="001B7E9B"/>
    <w:rsid w:val="001D30AE"/>
    <w:rsid w:val="001E0386"/>
    <w:rsid w:val="001E19D5"/>
    <w:rsid w:val="001E2459"/>
    <w:rsid w:val="001E6C74"/>
    <w:rsid w:val="001F3E0C"/>
    <w:rsid w:val="00203B8E"/>
    <w:rsid w:val="002049C5"/>
    <w:rsid w:val="00204E7B"/>
    <w:rsid w:val="00216974"/>
    <w:rsid w:val="00224140"/>
    <w:rsid w:val="00226503"/>
    <w:rsid w:val="002467D6"/>
    <w:rsid w:val="00250B2A"/>
    <w:rsid w:val="00254A87"/>
    <w:rsid w:val="002608D4"/>
    <w:rsid w:val="00267A53"/>
    <w:rsid w:val="002702FE"/>
    <w:rsid w:val="00273691"/>
    <w:rsid w:val="002751D2"/>
    <w:rsid w:val="002855A9"/>
    <w:rsid w:val="00293B22"/>
    <w:rsid w:val="00293DE7"/>
    <w:rsid w:val="00294FB6"/>
    <w:rsid w:val="00297AD1"/>
    <w:rsid w:val="002A5283"/>
    <w:rsid w:val="002B42A1"/>
    <w:rsid w:val="002C24CB"/>
    <w:rsid w:val="002C31ED"/>
    <w:rsid w:val="002D03DF"/>
    <w:rsid w:val="002D3A88"/>
    <w:rsid w:val="002D62AF"/>
    <w:rsid w:val="002E1436"/>
    <w:rsid w:val="002E7240"/>
    <w:rsid w:val="002F54E8"/>
    <w:rsid w:val="003026A2"/>
    <w:rsid w:val="00303824"/>
    <w:rsid w:val="00306CC6"/>
    <w:rsid w:val="003205FF"/>
    <w:rsid w:val="00321EC8"/>
    <w:rsid w:val="003305B2"/>
    <w:rsid w:val="00332DE4"/>
    <w:rsid w:val="00334968"/>
    <w:rsid w:val="00341B3E"/>
    <w:rsid w:val="00351487"/>
    <w:rsid w:val="00356B3F"/>
    <w:rsid w:val="00367CB1"/>
    <w:rsid w:val="003719F1"/>
    <w:rsid w:val="00372F40"/>
    <w:rsid w:val="00374DAF"/>
    <w:rsid w:val="00375CC7"/>
    <w:rsid w:val="00383FAE"/>
    <w:rsid w:val="00384CD5"/>
    <w:rsid w:val="0039183D"/>
    <w:rsid w:val="00391C14"/>
    <w:rsid w:val="00397766"/>
    <w:rsid w:val="003A1104"/>
    <w:rsid w:val="003A5822"/>
    <w:rsid w:val="003B11DD"/>
    <w:rsid w:val="003B72A8"/>
    <w:rsid w:val="003B7F8F"/>
    <w:rsid w:val="003C0774"/>
    <w:rsid w:val="003C5E57"/>
    <w:rsid w:val="003D499A"/>
    <w:rsid w:val="003D5BDF"/>
    <w:rsid w:val="003E25A9"/>
    <w:rsid w:val="003F5E08"/>
    <w:rsid w:val="00402C3D"/>
    <w:rsid w:val="004032C1"/>
    <w:rsid w:val="00407637"/>
    <w:rsid w:val="004120E2"/>
    <w:rsid w:val="0041555C"/>
    <w:rsid w:val="00415D83"/>
    <w:rsid w:val="00426FB0"/>
    <w:rsid w:val="00430D77"/>
    <w:rsid w:val="00440EAB"/>
    <w:rsid w:val="00452E65"/>
    <w:rsid w:val="00454B8B"/>
    <w:rsid w:val="00461871"/>
    <w:rsid w:val="00466271"/>
    <w:rsid w:val="0046718C"/>
    <w:rsid w:val="004674EF"/>
    <w:rsid w:val="00467508"/>
    <w:rsid w:val="00467595"/>
    <w:rsid w:val="004800F7"/>
    <w:rsid w:val="00480FCA"/>
    <w:rsid w:val="0048203B"/>
    <w:rsid w:val="0049303C"/>
    <w:rsid w:val="00496461"/>
    <w:rsid w:val="004A00E3"/>
    <w:rsid w:val="004B3739"/>
    <w:rsid w:val="004C10FE"/>
    <w:rsid w:val="004C250E"/>
    <w:rsid w:val="004C27B6"/>
    <w:rsid w:val="004E17F3"/>
    <w:rsid w:val="004E3F57"/>
    <w:rsid w:val="004E585C"/>
    <w:rsid w:val="004F2F93"/>
    <w:rsid w:val="004F4C50"/>
    <w:rsid w:val="00506345"/>
    <w:rsid w:val="00516E68"/>
    <w:rsid w:val="00520FA4"/>
    <w:rsid w:val="0052650A"/>
    <w:rsid w:val="005279E8"/>
    <w:rsid w:val="00551920"/>
    <w:rsid w:val="00552A0E"/>
    <w:rsid w:val="00556949"/>
    <w:rsid w:val="00560B0C"/>
    <w:rsid w:val="00560CA3"/>
    <w:rsid w:val="00562B5C"/>
    <w:rsid w:val="00563F32"/>
    <w:rsid w:val="00585BCF"/>
    <w:rsid w:val="00585ED0"/>
    <w:rsid w:val="00590A7E"/>
    <w:rsid w:val="005916D2"/>
    <w:rsid w:val="00595ED2"/>
    <w:rsid w:val="005A36ED"/>
    <w:rsid w:val="005A4F01"/>
    <w:rsid w:val="005B6F12"/>
    <w:rsid w:val="005C163A"/>
    <w:rsid w:val="005C3743"/>
    <w:rsid w:val="005D533E"/>
    <w:rsid w:val="005D66B0"/>
    <w:rsid w:val="005E1DE9"/>
    <w:rsid w:val="005E5E78"/>
    <w:rsid w:val="005F120A"/>
    <w:rsid w:val="005F356A"/>
    <w:rsid w:val="005F4F98"/>
    <w:rsid w:val="00603AAD"/>
    <w:rsid w:val="00605900"/>
    <w:rsid w:val="006068E9"/>
    <w:rsid w:val="006074FF"/>
    <w:rsid w:val="00617A76"/>
    <w:rsid w:val="00617E98"/>
    <w:rsid w:val="00630301"/>
    <w:rsid w:val="00644A95"/>
    <w:rsid w:val="00650A99"/>
    <w:rsid w:val="00652DA3"/>
    <w:rsid w:val="00652DAB"/>
    <w:rsid w:val="0065368E"/>
    <w:rsid w:val="00654211"/>
    <w:rsid w:val="00670D69"/>
    <w:rsid w:val="00672971"/>
    <w:rsid w:val="006756E8"/>
    <w:rsid w:val="0067758A"/>
    <w:rsid w:val="00682027"/>
    <w:rsid w:val="00687B70"/>
    <w:rsid w:val="00692975"/>
    <w:rsid w:val="006A5FCB"/>
    <w:rsid w:val="006B765E"/>
    <w:rsid w:val="006C051C"/>
    <w:rsid w:val="006D20E4"/>
    <w:rsid w:val="006D2B4A"/>
    <w:rsid w:val="00700DB0"/>
    <w:rsid w:val="0070120A"/>
    <w:rsid w:val="007062D9"/>
    <w:rsid w:val="00706545"/>
    <w:rsid w:val="00745063"/>
    <w:rsid w:val="00747180"/>
    <w:rsid w:val="00754337"/>
    <w:rsid w:val="00764ABD"/>
    <w:rsid w:val="00770276"/>
    <w:rsid w:val="00770ADC"/>
    <w:rsid w:val="00771928"/>
    <w:rsid w:val="00773282"/>
    <w:rsid w:val="00795639"/>
    <w:rsid w:val="00796DDA"/>
    <w:rsid w:val="007B422C"/>
    <w:rsid w:val="007B4882"/>
    <w:rsid w:val="007B70F7"/>
    <w:rsid w:val="007C4270"/>
    <w:rsid w:val="007F1361"/>
    <w:rsid w:val="007F7C04"/>
    <w:rsid w:val="00800D36"/>
    <w:rsid w:val="00800EEF"/>
    <w:rsid w:val="008036D7"/>
    <w:rsid w:val="00814D3D"/>
    <w:rsid w:val="00815D0B"/>
    <w:rsid w:val="00820529"/>
    <w:rsid w:val="00821EDD"/>
    <w:rsid w:val="00827082"/>
    <w:rsid w:val="00832014"/>
    <w:rsid w:val="008326D2"/>
    <w:rsid w:val="00862966"/>
    <w:rsid w:val="0086485C"/>
    <w:rsid w:val="00872CA8"/>
    <w:rsid w:val="008761A0"/>
    <w:rsid w:val="00897455"/>
    <w:rsid w:val="008A0D33"/>
    <w:rsid w:val="008A0D90"/>
    <w:rsid w:val="008A1B70"/>
    <w:rsid w:val="008A5D7F"/>
    <w:rsid w:val="008E2ADB"/>
    <w:rsid w:val="008E40B7"/>
    <w:rsid w:val="008E6775"/>
    <w:rsid w:val="008F6815"/>
    <w:rsid w:val="009058D0"/>
    <w:rsid w:val="00907660"/>
    <w:rsid w:val="00914565"/>
    <w:rsid w:val="00921D04"/>
    <w:rsid w:val="00926B45"/>
    <w:rsid w:val="009339AC"/>
    <w:rsid w:val="00934CE3"/>
    <w:rsid w:val="00942761"/>
    <w:rsid w:val="00942F02"/>
    <w:rsid w:val="00943029"/>
    <w:rsid w:val="009471EB"/>
    <w:rsid w:val="00957662"/>
    <w:rsid w:val="009606B3"/>
    <w:rsid w:val="00966EAD"/>
    <w:rsid w:val="00990B51"/>
    <w:rsid w:val="00991F22"/>
    <w:rsid w:val="00997B85"/>
    <w:rsid w:val="009C0615"/>
    <w:rsid w:val="009D7ECE"/>
    <w:rsid w:val="009F0EF0"/>
    <w:rsid w:val="009F3F48"/>
    <w:rsid w:val="00A04FA7"/>
    <w:rsid w:val="00A32BD8"/>
    <w:rsid w:val="00A34FD5"/>
    <w:rsid w:val="00A43B37"/>
    <w:rsid w:val="00A44F64"/>
    <w:rsid w:val="00A47CA0"/>
    <w:rsid w:val="00A57CC2"/>
    <w:rsid w:val="00A642C7"/>
    <w:rsid w:val="00A65971"/>
    <w:rsid w:val="00A7456E"/>
    <w:rsid w:val="00A7495A"/>
    <w:rsid w:val="00A839F4"/>
    <w:rsid w:val="00A84657"/>
    <w:rsid w:val="00A85837"/>
    <w:rsid w:val="00A926CE"/>
    <w:rsid w:val="00A9371D"/>
    <w:rsid w:val="00AA22C9"/>
    <w:rsid w:val="00AA75DD"/>
    <w:rsid w:val="00AB37B1"/>
    <w:rsid w:val="00AC2B0C"/>
    <w:rsid w:val="00AC6DD0"/>
    <w:rsid w:val="00AD4CE9"/>
    <w:rsid w:val="00AD56DB"/>
    <w:rsid w:val="00AE45E6"/>
    <w:rsid w:val="00AF71D3"/>
    <w:rsid w:val="00B0252C"/>
    <w:rsid w:val="00B11E2E"/>
    <w:rsid w:val="00B179EC"/>
    <w:rsid w:val="00B17D06"/>
    <w:rsid w:val="00B21A6F"/>
    <w:rsid w:val="00B229DE"/>
    <w:rsid w:val="00B235FD"/>
    <w:rsid w:val="00B245DE"/>
    <w:rsid w:val="00B258AA"/>
    <w:rsid w:val="00B34497"/>
    <w:rsid w:val="00B430BE"/>
    <w:rsid w:val="00B5291B"/>
    <w:rsid w:val="00B6483D"/>
    <w:rsid w:val="00B65897"/>
    <w:rsid w:val="00B7024B"/>
    <w:rsid w:val="00B74F06"/>
    <w:rsid w:val="00B773B4"/>
    <w:rsid w:val="00B83BF2"/>
    <w:rsid w:val="00B8540B"/>
    <w:rsid w:val="00B97673"/>
    <w:rsid w:val="00BB2EB5"/>
    <w:rsid w:val="00BB3D88"/>
    <w:rsid w:val="00BC5D7D"/>
    <w:rsid w:val="00BD3082"/>
    <w:rsid w:val="00BE325A"/>
    <w:rsid w:val="00C0423C"/>
    <w:rsid w:val="00C06948"/>
    <w:rsid w:val="00C20CA8"/>
    <w:rsid w:val="00C276A2"/>
    <w:rsid w:val="00C334D1"/>
    <w:rsid w:val="00C35423"/>
    <w:rsid w:val="00C36BE7"/>
    <w:rsid w:val="00C404DC"/>
    <w:rsid w:val="00C43064"/>
    <w:rsid w:val="00C54674"/>
    <w:rsid w:val="00C661A2"/>
    <w:rsid w:val="00C6685D"/>
    <w:rsid w:val="00C66BB8"/>
    <w:rsid w:val="00C70370"/>
    <w:rsid w:val="00C81FC2"/>
    <w:rsid w:val="00C83948"/>
    <w:rsid w:val="00C86E28"/>
    <w:rsid w:val="00CA340D"/>
    <w:rsid w:val="00CB47E0"/>
    <w:rsid w:val="00CC0170"/>
    <w:rsid w:val="00CC38D6"/>
    <w:rsid w:val="00CC74DC"/>
    <w:rsid w:val="00CD5CCB"/>
    <w:rsid w:val="00CE3D10"/>
    <w:rsid w:val="00CE6524"/>
    <w:rsid w:val="00CE6795"/>
    <w:rsid w:val="00CF0493"/>
    <w:rsid w:val="00CF6745"/>
    <w:rsid w:val="00D42439"/>
    <w:rsid w:val="00D6749B"/>
    <w:rsid w:val="00D718F8"/>
    <w:rsid w:val="00D71C09"/>
    <w:rsid w:val="00D774B6"/>
    <w:rsid w:val="00D81436"/>
    <w:rsid w:val="00DA07E0"/>
    <w:rsid w:val="00DA76D0"/>
    <w:rsid w:val="00DB2278"/>
    <w:rsid w:val="00DD0981"/>
    <w:rsid w:val="00DD5CA9"/>
    <w:rsid w:val="00DE1C5D"/>
    <w:rsid w:val="00E00EAB"/>
    <w:rsid w:val="00E06024"/>
    <w:rsid w:val="00E16EF6"/>
    <w:rsid w:val="00E20AD8"/>
    <w:rsid w:val="00E35BA6"/>
    <w:rsid w:val="00E37DA4"/>
    <w:rsid w:val="00E438FA"/>
    <w:rsid w:val="00E44E11"/>
    <w:rsid w:val="00E562E9"/>
    <w:rsid w:val="00E745B9"/>
    <w:rsid w:val="00E80CF1"/>
    <w:rsid w:val="00EA1F64"/>
    <w:rsid w:val="00EC5776"/>
    <w:rsid w:val="00ED18CB"/>
    <w:rsid w:val="00F067EF"/>
    <w:rsid w:val="00F11CE8"/>
    <w:rsid w:val="00F152E9"/>
    <w:rsid w:val="00F413A2"/>
    <w:rsid w:val="00F57D5F"/>
    <w:rsid w:val="00F64422"/>
    <w:rsid w:val="00F74A4C"/>
    <w:rsid w:val="00F9272D"/>
    <w:rsid w:val="00FA4C6D"/>
    <w:rsid w:val="00FB1D70"/>
    <w:rsid w:val="00FC413F"/>
    <w:rsid w:val="00FD1869"/>
    <w:rsid w:val="00FD52EC"/>
    <w:rsid w:val="00FE438F"/>
    <w:rsid w:val="00FE5384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E275DC94-0984-43F3-836A-4F4D7C2A0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8</Pages>
  <Words>1397</Words>
  <Characters>7689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13</cp:revision>
  <cp:lastPrinted>2016-12-25T22:08:00Z</cp:lastPrinted>
  <dcterms:created xsi:type="dcterms:W3CDTF">2015-09-24T21:09:00Z</dcterms:created>
  <dcterms:modified xsi:type="dcterms:W3CDTF">2016-12-25T22:09:00Z</dcterms:modified>
</cp:coreProperties>
</file>