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F5484" w:rsidRPr="00BF5484" w:rsidRDefault="00BF5484" w:rsidP="00BF5484">
      <w:pPr>
        <w:numPr>
          <w:ilvl w:val="0"/>
          <w:numId w:val="9"/>
        </w:numPr>
        <w:overflowPunct/>
        <w:autoSpaceDE/>
        <w:autoSpaceDN/>
        <w:adjustRightInd/>
        <w:spacing w:before="100" w:after="40" w:line="228" w:lineRule="auto"/>
        <w:contextualSpacing/>
        <w:textAlignment w:val="auto"/>
        <w:rPr>
          <w:rFonts w:ascii="Tahoma" w:eastAsia="Arial" w:hAnsi="Tahoma" w:cs="Tahoma"/>
          <w:b/>
          <w:color w:val="000000"/>
          <w:sz w:val="22"/>
          <w:szCs w:val="22"/>
          <w:lang w:eastAsia="es-CO"/>
        </w:rPr>
      </w:pPr>
      <w:bookmarkStart w:id="0" w:name="_GoBack"/>
      <w:bookmarkEnd w:id="0"/>
      <w:r>
        <w:rPr>
          <w:rFonts w:ascii="Tahoma" w:eastAsia="Arial" w:hAnsi="Tahoma" w:cs="Tahoma"/>
          <w:b/>
          <w:color w:val="000000"/>
          <w:sz w:val="22"/>
          <w:szCs w:val="22"/>
          <w:lang w:eastAsia="es-CO"/>
        </w:rPr>
        <w:t>BALANCE GENERAL COMPARATIVO</w:t>
      </w:r>
      <w:r w:rsidRPr="00BF5484">
        <w:rPr>
          <w:rFonts w:ascii="Tahoma" w:eastAsia="Arial" w:hAnsi="Tahoma" w:cs="Tahoma"/>
          <w:b/>
          <w:color w:val="000000"/>
          <w:sz w:val="22"/>
          <w:szCs w:val="22"/>
          <w:lang w:eastAsia="es-CO"/>
        </w:rPr>
        <w:t xml:space="preserve"> </w:t>
      </w:r>
    </w:p>
    <w:p w:rsidR="00BF5484" w:rsidRPr="00BF5484" w:rsidRDefault="00BF5484"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BF5484" w:rsidRPr="00BF5484" w:rsidRDefault="00BF5484"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BF5484" w:rsidRPr="00BF5484"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r>
        <w:rPr>
          <w:rFonts w:ascii="Tahoma" w:eastAsia="Arial" w:hAnsi="Tahoma" w:cs="Tahoma"/>
          <w:noProof/>
          <w:color w:val="000000"/>
          <w:sz w:val="22"/>
          <w:szCs w:val="22"/>
          <w:lang w:eastAsia="es-CO"/>
        </w:rPr>
        <w:drawing>
          <wp:inline distT="0" distB="0" distL="0" distR="0" wp14:anchorId="59570D64">
            <wp:extent cx="5819775" cy="4257675"/>
            <wp:effectExtent l="0" t="0" r="9525"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25414" cy="4261800"/>
                    </a:xfrm>
                    <a:prstGeom prst="rect">
                      <a:avLst/>
                    </a:prstGeom>
                    <a:noFill/>
                  </pic:spPr>
                </pic:pic>
              </a:graphicData>
            </a:graphic>
          </wp:inline>
        </w:drawing>
      </w:r>
    </w:p>
    <w:p w:rsidR="00BF5484" w:rsidRPr="00BF5484" w:rsidRDefault="00BF5484"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BF5484" w:rsidRDefault="00BF5484"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r>
        <w:rPr>
          <w:rFonts w:ascii="Tahoma" w:eastAsia="Arial" w:hAnsi="Tahoma" w:cs="Tahoma"/>
          <w:noProof/>
          <w:color w:val="000000"/>
          <w:sz w:val="22"/>
          <w:szCs w:val="22"/>
          <w:lang w:eastAsia="es-CO"/>
        </w:rPr>
        <w:lastRenderedPageBreak/>
        <w:drawing>
          <wp:inline distT="0" distB="0" distL="0" distR="0" wp14:anchorId="17B025E7">
            <wp:extent cx="4310380" cy="2585085"/>
            <wp:effectExtent l="0" t="0" r="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10380" cy="2585085"/>
                    </a:xfrm>
                    <a:prstGeom prst="rect">
                      <a:avLst/>
                    </a:prstGeom>
                    <a:noFill/>
                  </pic:spPr>
                </pic:pic>
              </a:graphicData>
            </a:graphic>
          </wp:inline>
        </w:drawing>
      </w:r>
    </w:p>
    <w:p w:rsidR="00A73DE7"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p w:rsidR="00A73DE7" w:rsidRDefault="00A73DE7" w:rsidP="00A73DE7">
      <w:pPr>
        <w:spacing w:line="228" w:lineRule="auto"/>
        <w:jc w:val="both"/>
        <w:rPr>
          <w:rFonts w:ascii="Tahoma" w:hAnsi="Tahoma" w:cs="Tahoma"/>
        </w:rPr>
      </w:pPr>
      <w:r>
        <w:rPr>
          <w:rFonts w:ascii="Tahoma" w:hAnsi="Tahoma" w:cs="Tahoma"/>
        </w:rPr>
        <w:t>La información financiera del Hospital Nuestra Señora de Lourdes del Municipio de Ataco Tolima, a 31 de diciembre de 2015, permite establecer que la entidad prestadora de servicios de salud registró a 31 de diciembre de 2015 un total de activos que ascienden a la suma de $6.628,3 millones, saldo que supera en $2.263,4 millones (51.85%) del valor registrado en la vigencia 2014.</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Comparados los saldos registrados en la cuenta del  “Efectivo” entre las vigencias 2014 y 2015, se puede establecer que entre las mismas se presentó un incremento porcentual del 1.80%, representados en ($1,2 millones),  finalizando la vigencia 2015 en $72,7 millones. El 87.86% de los recursos del efectivo se encuentran consignados en Instituciones Financieras y el  12.13% en Caja,  cuenta que cerró el periodo fiscal 2015 en $8,8 millones, con una variación en el saldo respecto a la vigencia 2014 de $3,3 millones, incremento que representa el 61.26%.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Los  “Deudores” cuenta representativa dentro del Actico (19.59%), registró  a 31 de diciembre de 2015 la suma de $1.299 millones,  con un incremento respecto al valor alcanzado en la vigencia 2014 ($980,3 millones)  del 32.51%, variación que se debió al incremento en el saldo por concepto de “Venta de Servicios”, cuenta que pasó de registrar un saldo de $982,8  millones en el 2014  a cuantificar en el 2015 la suma de $1.299 millones.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La entidad  registró  a 31 de diciembre de 2015, en la cuenta de Inventarios la suma de $160,2 millones, presentando una disminución del 24.54% frente a lo registrado en el 2014, en cuya anualidad se cuantificó en $212,4 millones.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lastRenderedPageBreak/>
        <w:t xml:space="preserve">Producto de las operaciones adelantadas por la E.S.E durante la vigencia 2015, permitió que la entidad disminuyera el saldo de la cuenta “Otros Activos, en $4,5 millones (3.03%) el saldo obtenido en la vigencia 2014 ($148,6 millones) finalizando de esta forma la anualidad en $144,1 millones.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Las cuentas de Propiedad, Planta  obtuvieron un incremento en el saldo del 67.75% ($ $2.000 millones), pasando de esta forma de registrar en el 2014 un saldo de $2.952,1millones  a $4.952 millones en el 2015.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El grupo de cuentas del Pasivo, presentaron un incremento porcentual en el saldo   entre las vigencias 2014 y 2015 del 47.31% al pasar de $394,6 millones en el 2014  a $581,3 millones en el 2015. Dentro de este grupo  se puede evidenciar que la deuda de mayor representatividad es la de “Cuentas por Pagar” cuenta que finalizó el periodo 2015 en $460,3 millones, con ello se puede evidenciar que durante la anualidad 2015, el pasivo por este concepto se incrementó en un 38.18% frente a la cuantificación realizada en el 2014 que ascendió a $333,1 millones.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La cuenta “Otros Pasivos”  presentó una variación  significativa en el saldo que alcanzó el 94.42%  cuantificando dicho incremento en $34,2 pasando de $36.2 millones a $70,5 millones en el 2015.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El Patrimonio  refleja  un aumento en el saldo del 52.31% esto es $2.076,7 millones, apalancado principalmente por el  “Resultado del Ejercicio” cuya cuenta presento una variación porcentual del 148.09% pasando de registrar en el 2014 un saldo de $612 millones  a un excedente  en el 2015 de $1.518,3 millones. </w:t>
      </w:r>
    </w:p>
    <w:p w:rsidR="00A73DE7" w:rsidRDefault="00A73DE7" w:rsidP="00A73DE7">
      <w:pPr>
        <w:spacing w:line="228" w:lineRule="auto"/>
        <w:rPr>
          <w:rFonts w:ascii="Tahoma" w:hAnsi="Tahoma" w:cs="Tahoma"/>
        </w:rPr>
      </w:pPr>
    </w:p>
    <w:p w:rsidR="00D91D52" w:rsidRPr="00AD4CE9" w:rsidRDefault="00D91D52" w:rsidP="00A73DE7">
      <w:pPr>
        <w:spacing w:line="228" w:lineRule="auto"/>
        <w:rPr>
          <w:rFonts w:ascii="Tahoma" w:hAnsi="Tahoma" w:cs="Tahoma"/>
        </w:rPr>
      </w:pPr>
    </w:p>
    <w:p w:rsidR="00A73DE7" w:rsidRDefault="00A73DE7" w:rsidP="00A73DE7">
      <w:pPr>
        <w:pStyle w:val="Prrafodelista"/>
        <w:numPr>
          <w:ilvl w:val="0"/>
          <w:numId w:val="10"/>
        </w:numPr>
        <w:overflowPunct/>
        <w:autoSpaceDE/>
        <w:autoSpaceDN/>
        <w:adjustRightInd/>
        <w:spacing w:line="228" w:lineRule="auto"/>
        <w:textAlignment w:val="auto"/>
        <w:rPr>
          <w:rFonts w:ascii="Tahoma" w:hAnsi="Tahoma" w:cs="Tahoma"/>
          <w:b/>
        </w:rPr>
      </w:pPr>
      <w:r w:rsidRPr="00AD4CE9">
        <w:rPr>
          <w:rFonts w:ascii="Tahoma" w:hAnsi="Tahoma" w:cs="Tahoma"/>
          <w:b/>
        </w:rPr>
        <w:t>ESTADO DE ACTIVIDAD FINANCIERA, ECONÓMICA, SOCIAL Y AMBIENTAL COMPARATIVO</w:t>
      </w:r>
    </w:p>
    <w:p w:rsidR="00A73DE7" w:rsidRPr="00AD4CE9" w:rsidRDefault="00A73DE7" w:rsidP="00A73DE7">
      <w:pPr>
        <w:spacing w:line="228" w:lineRule="auto"/>
        <w:rPr>
          <w:rFonts w:ascii="Tahoma" w:hAnsi="Tahoma" w:cs="Tahoma"/>
        </w:rPr>
      </w:pPr>
    </w:p>
    <w:p w:rsidR="00A73DE7" w:rsidRPr="00AD4CE9" w:rsidRDefault="00A73DE7" w:rsidP="00A73DE7">
      <w:pPr>
        <w:spacing w:line="228" w:lineRule="auto"/>
        <w:rPr>
          <w:rFonts w:ascii="Tahoma" w:hAnsi="Tahoma" w:cs="Tahoma"/>
        </w:rPr>
      </w:pPr>
      <w:r w:rsidRPr="001845E1">
        <w:rPr>
          <w:noProof/>
          <w:lang w:eastAsia="es-CO"/>
        </w:rPr>
        <w:lastRenderedPageBreak/>
        <w:drawing>
          <wp:inline distT="0" distB="0" distL="0" distR="0" wp14:anchorId="73394AFD" wp14:editId="77FEB94D">
            <wp:extent cx="5800725" cy="2533650"/>
            <wp:effectExtent l="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04008" cy="2535084"/>
                    </a:xfrm>
                    <a:prstGeom prst="rect">
                      <a:avLst/>
                    </a:prstGeom>
                    <a:noFill/>
                    <a:ln>
                      <a:noFill/>
                    </a:ln>
                  </pic:spPr>
                </pic:pic>
              </a:graphicData>
            </a:graphic>
          </wp:inline>
        </w:drawing>
      </w:r>
    </w:p>
    <w:p w:rsidR="00D42528" w:rsidRDefault="00D42528"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Analizado el Estado de Actividad Financiera de la ESE  “Nuestra Señora de Lourdes del Municipio de Ataco” a 31 de diciembre de 2015 frente al resultado obtenido en el 2014, se puede determinar que la entidad percibió ingresos en cuantía de $5.256,7 millones, superando en un 51.89% ($1.795,9 millones) el saldo registrado en el 2014 que ascendió a $3.460,8 millones.</w:t>
      </w:r>
    </w:p>
    <w:p w:rsidR="00A73DE7" w:rsidRDefault="00A73DE7" w:rsidP="00A73DE7">
      <w:pPr>
        <w:spacing w:line="228" w:lineRule="auto"/>
        <w:jc w:val="both"/>
        <w:rPr>
          <w:rFonts w:ascii="Tahoma" w:hAnsi="Tahoma" w:cs="Tahoma"/>
        </w:rPr>
      </w:pPr>
    </w:p>
    <w:p w:rsidR="00D42528" w:rsidRDefault="00D42528"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La Venta de Servicios, cuenta  que representa el 83.11% de los ingresos percibidos por la ESE, finalizó la anualidad 2015 con un saldo de $4.369,3 millones, evidenciándose un incremento del 27.01% ($929,1 millones) más de lo contabilizado en el 2014.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noProof/>
          <w:lang w:eastAsia="es-CO"/>
        </w:rPr>
        <w:drawing>
          <wp:inline distT="0" distB="0" distL="0" distR="0" wp14:anchorId="0217C6AC" wp14:editId="652D6629">
            <wp:extent cx="4076700" cy="22098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96592" cy="2220583"/>
                    </a:xfrm>
                    <a:prstGeom prst="rect">
                      <a:avLst/>
                    </a:prstGeom>
                    <a:noFill/>
                  </pic:spPr>
                </pic:pic>
              </a:graphicData>
            </a:graphic>
          </wp:inline>
        </w:drawing>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 xml:space="preserve">Los gastos mantuvieron un crecimiento porcentual en el saldo obtenido en la vigencia 2014 del 8.99% finalizando de esta forma con un saldo de $1.434,9 millones, cuantía que supera en $118,3 millones el saldo de la vigencia 2014.    Dentro del grupo de cuentas de gastos la de mayor representatividad son los gastos por concepto de “Administración” cuenta que finalizó el periodo 2015 en $1.415,3 millones, superando el saldo de la vigencia 2014 en $118,3 millones que representan el 9.04%. </w:t>
      </w:r>
    </w:p>
    <w:p w:rsidR="00A73DE7" w:rsidRDefault="00A73DE7" w:rsidP="00A73DE7">
      <w:pPr>
        <w:spacing w:line="228" w:lineRule="auto"/>
        <w:rPr>
          <w:rFonts w:ascii="Tahoma" w:hAnsi="Tahoma" w:cs="Tahoma"/>
        </w:rPr>
      </w:pPr>
    </w:p>
    <w:p w:rsidR="00704E4D" w:rsidRPr="00AD4CE9" w:rsidRDefault="00704E4D" w:rsidP="00A73DE7">
      <w:pPr>
        <w:spacing w:line="228" w:lineRule="auto"/>
        <w:rPr>
          <w:rFonts w:ascii="Tahoma" w:hAnsi="Tahoma" w:cs="Tahoma"/>
        </w:rPr>
      </w:pPr>
    </w:p>
    <w:p w:rsidR="00A73DE7" w:rsidRPr="00AD4CE9" w:rsidRDefault="00A73DE7" w:rsidP="00A73DE7">
      <w:pPr>
        <w:pStyle w:val="Prrafodelista"/>
        <w:numPr>
          <w:ilvl w:val="0"/>
          <w:numId w:val="10"/>
        </w:numPr>
        <w:overflowPunct/>
        <w:autoSpaceDE/>
        <w:autoSpaceDN/>
        <w:adjustRightInd/>
        <w:spacing w:line="228" w:lineRule="auto"/>
        <w:textAlignment w:val="auto"/>
        <w:rPr>
          <w:rFonts w:ascii="Tahoma" w:hAnsi="Tahoma" w:cs="Tahoma"/>
          <w:b/>
        </w:rPr>
      </w:pPr>
      <w:r w:rsidRPr="00AD4CE9">
        <w:rPr>
          <w:rFonts w:ascii="Tahoma" w:hAnsi="Tahoma" w:cs="Tahoma"/>
          <w:b/>
        </w:rPr>
        <w:t>APLICACIÓN DE INDICADORES FINANCIEROS</w:t>
      </w:r>
    </w:p>
    <w:p w:rsidR="00A73DE7" w:rsidRPr="00AD4CE9" w:rsidRDefault="00A73DE7" w:rsidP="00A73DE7">
      <w:pPr>
        <w:spacing w:line="228" w:lineRule="auto"/>
        <w:rPr>
          <w:rFonts w:ascii="Tahoma" w:hAnsi="Tahoma" w:cs="Tahoma"/>
        </w:rPr>
      </w:pPr>
    </w:p>
    <w:p w:rsidR="00A73DE7" w:rsidRPr="00AD4CE9" w:rsidRDefault="00A73DE7" w:rsidP="00A73DE7">
      <w:pPr>
        <w:pStyle w:val="Prrafodelista"/>
        <w:numPr>
          <w:ilvl w:val="1"/>
          <w:numId w:val="10"/>
        </w:numPr>
        <w:overflowPunct/>
        <w:autoSpaceDE/>
        <w:autoSpaceDN/>
        <w:adjustRightInd/>
        <w:spacing w:line="228" w:lineRule="auto"/>
        <w:textAlignment w:val="auto"/>
        <w:rPr>
          <w:rFonts w:ascii="Tahoma" w:hAnsi="Tahoma" w:cs="Tahoma"/>
        </w:rPr>
      </w:pPr>
      <w:r w:rsidRPr="00AD4CE9">
        <w:rPr>
          <w:rFonts w:ascii="Tahoma" w:hAnsi="Tahoma" w:cs="Tahoma"/>
        </w:rPr>
        <w:t>Indicadores de liquidez y Solvencia</w:t>
      </w:r>
    </w:p>
    <w:p w:rsidR="00A73DE7" w:rsidRPr="00AD4CE9" w:rsidRDefault="00A73DE7" w:rsidP="00A73DE7">
      <w:pPr>
        <w:spacing w:line="228" w:lineRule="auto"/>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Razón</w:t>
      </w:r>
      <w:r>
        <w:rPr>
          <w:rFonts w:ascii="Tahoma" w:hAnsi="Tahoma" w:cs="Tahoma"/>
        </w:rPr>
        <w:t xml:space="preserve"> Corriente: N</w:t>
      </w:r>
      <w:r w:rsidRPr="00AD4CE9">
        <w:rPr>
          <w:rFonts w:ascii="Tahoma" w:hAnsi="Tahoma" w:cs="Tahoma"/>
        </w:rPr>
        <w:t>os muestra la capacidad que tiene la entidad para cubrir sus deudas en el corto plazo, ya que indica por cada peso que se debe, con cuantos se cuenta para respaldarlo.</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Formula: Activo Corriente / Pasivo Corriente</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Activo Corriente:</w:t>
      </w:r>
    </w:p>
    <w:p w:rsidR="00A73DE7" w:rsidRPr="00195821" w:rsidRDefault="00A73DE7" w:rsidP="00A73DE7">
      <w:pPr>
        <w:jc w:val="both"/>
        <w:rPr>
          <w:rFonts w:ascii="Tahoma" w:hAnsi="Tahoma" w:cs="Tahoma"/>
        </w:rPr>
      </w:pPr>
      <w:r>
        <w:rPr>
          <w:rFonts w:ascii="Tahoma" w:hAnsi="Tahoma" w:cs="Tahoma"/>
        </w:rPr>
        <w:t>Efectivo</w:t>
      </w:r>
      <w:r>
        <w:rPr>
          <w:rFonts w:ascii="Tahoma" w:hAnsi="Tahoma" w:cs="Tahoma"/>
        </w:rPr>
        <w:tab/>
      </w:r>
      <w:r>
        <w:rPr>
          <w:rFonts w:ascii="Tahoma" w:hAnsi="Tahoma" w:cs="Tahoma"/>
        </w:rPr>
        <w:tab/>
        <w:t>$</w:t>
      </w:r>
      <w:r w:rsidRPr="00A22617">
        <w:rPr>
          <w:sz w:val="20"/>
        </w:rPr>
        <w:t xml:space="preserve"> </w:t>
      </w:r>
      <w:r>
        <w:rPr>
          <w:rFonts w:ascii="Tahoma" w:hAnsi="Tahoma" w:cs="Tahoma"/>
        </w:rPr>
        <w:t xml:space="preserve">    72.739</w:t>
      </w:r>
      <w:r w:rsidRPr="00A22617">
        <w:rPr>
          <w:rFonts w:ascii="Tahoma" w:hAnsi="Tahoma" w:cs="Tahoma"/>
        </w:rPr>
        <w:tab/>
        <w:t xml:space="preserve">    </w:t>
      </w:r>
    </w:p>
    <w:p w:rsidR="00A73DE7" w:rsidRDefault="00A73DE7" w:rsidP="00A73DE7">
      <w:pPr>
        <w:jc w:val="both"/>
        <w:rPr>
          <w:rFonts w:ascii="Tahoma" w:hAnsi="Tahoma" w:cs="Tahoma"/>
        </w:rPr>
      </w:pPr>
      <w:r w:rsidRPr="00A22617">
        <w:rPr>
          <w:rFonts w:ascii="Tahoma" w:hAnsi="Tahoma" w:cs="Tahoma"/>
        </w:rPr>
        <w:t>Deudores</w:t>
      </w:r>
      <w:r w:rsidRPr="00A22617">
        <w:rPr>
          <w:rFonts w:ascii="Tahoma" w:hAnsi="Tahoma" w:cs="Tahoma"/>
        </w:rPr>
        <w:tab/>
      </w:r>
      <w:r w:rsidRPr="00A22617">
        <w:rPr>
          <w:rFonts w:ascii="Tahoma" w:hAnsi="Tahoma" w:cs="Tahoma"/>
        </w:rPr>
        <w:tab/>
        <w:t xml:space="preserve"> </w:t>
      </w:r>
      <w:r>
        <w:rPr>
          <w:rFonts w:ascii="Tahoma" w:hAnsi="Tahoma" w:cs="Tahoma"/>
        </w:rPr>
        <w:t xml:space="preserve"> 1.299.048</w:t>
      </w:r>
    </w:p>
    <w:p w:rsidR="00A73DE7" w:rsidRPr="00A22617" w:rsidRDefault="00A73DE7" w:rsidP="00A73DE7">
      <w:pPr>
        <w:jc w:val="both"/>
        <w:rPr>
          <w:rFonts w:ascii="Tahoma" w:hAnsi="Tahoma" w:cs="Tahoma"/>
        </w:rPr>
      </w:pPr>
      <w:r>
        <w:rPr>
          <w:rFonts w:ascii="Tahoma" w:hAnsi="Tahoma" w:cs="Tahoma"/>
        </w:rPr>
        <w:t>Inventarios                    160.289</w:t>
      </w:r>
    </w:p>
    <w:p w:rsidR="00A73DE7" w:rsidRPr="00AD4CE9" w:rsidRDefault="00A73DE7" w:rsidP="00A73DE7">
      <w:pPr>
        <w:spacing w:line="228" w:lineRule="auto"/>
        <w:rPr>
          <w:rFonts w:ascii="Tahoma" w:hAnsi="Tahoma" w:cs="Tahoma"/>
        </w:rPr>
      </w:pPr>
      <w:r w:rsidRPr="00AD4CE9">
        <w:rPr>
          <w:rFonts w:ascii="Tahoma" w:hAnsi="Tahoma" w:cs="Tahoma"/>
        </w:rPr>
        <w:tab/>
      </w:r>
      <w:r w:rsidRPr="00AD4CE9">
        <w:rPr>
          <w:rFonts w:ascii="Tahoma" w:hAnsi="Tahoma" w:cs="Tahoma"/>
        </w:rPr>
        <w:tab/>
      </w:r>
      <w:r w:rsidRPr="00AD4CE9">
        <w:rPr>
          <w:rFonts w:ascii="Tahoma" w:hAnsi="Tahoma" w:cs="Tahoma"/>
        </w:rPr>
        <w:tab/>
        <w:t>--------------------</w:t>
      </w:r>
    </w:p>
    <w:p w:rsidR="00A73DE7" w:rsidRPr="00AD4CE9" w:rsidRDefault="00A73DE7" w:rsidP="00A73DE7">
      <w:pPr>
        <w:spacing w:line="228" w:lineRule="auto"/>
        <w:rPr>
          <w:rFonts w:ascii="Tahoma" w:hAnsi="Tahoma" w:cs="Tahoma"/>
        </w:rPr>
      </w:pPr>
      <w:r>
        <w:rPr>
          <w:rFonts w:ascii="Tahoma" w:hAnsi="Tahoma" w:cs="Tahoma"/>
        </w:rPr>
        <w:tab/>
      </w:r>
      <w:r>
        <w:rPr>
          <w:rFonts w:ascii="Tahoma" w:hAnsi="Tahoma" w:cs="Tahoma"/>
        </w:rPr>
        <w:tab/>
      </w:r>
      <w:r>
        <w:rPr>
          <w:rFonts w:ascii="Tahoma" w:hAnsi="Tahoma" w:cs="Tahoma"/>
        </w:rPr>
        <w:tab/>
        <w:t xml:space="preserve">  $1.532.076</w:t>
      </w:r>
    </w:p>
    <w:p w:rsidR="00A73DE7" w:rsidRPr="00AD4CE9" w:rsidRDefault="00A73DE7" w:rsidP="00A73DE7">
      <w:pPr>
        <w:spacing w:line="228" w:lineRule="auto"/>
        <w:rPr>
          <w:rFonts w:ascii="Tahoma" w:hAnsi="Tahoma" w:cs="Tahoma"/>
        </w:rPr>
      </w:pPr>
    </w:p>
    <w:p w:rsidR="00A73DE7" w:rsidRDefault="00A73DE7" w:rsidP="00A73DE7">
      <w:pPr>
        <w:spacing w:line="228" w:lineRule="auto"/>
        <w:rPr>
          <w:rFonts w:ascii="Tahoma" w:hAnsi="Tahoma" w:cs="Tahoma"/>
        </w:rPr>
      </w:pPr>
      <w:r w:rsidRPr="00AD4CE9">
        <w:rPr>
          <w:rFonts w:ascii="Tahoma" w:hAnsi="Tahoma" w:cs="Tahoma"/>
        </w:rPr>
        <w:t>Pasivo Corriente:</w:t>
      </w:r>
    </w:p>
    <w:p w:rsidR="00A73DE7" w:rsidRPr="00AD4CE9" w:rsidRDefault="00A73DE7" w:rsidP="00A73DE7">
      <w:pPr>
        <w:spacing w:line="228" w:lineRule="auto"/>
        <w:rPr>
          <w:rFonts w:ascii="Tahoma" w:hAnsi="Tahoma" w:cs="Tahoma"/>
        </w:rPr>
      </w:pPr>
    </w:p>
    <w:p w:rsidR="00A73DE7" w:rsidRPr="00AD4CE9" w:rsidRDefault="00A73DE7" w:rsidP="00A73DE7">
      <w:pPr>
        <w:spacing w:line="228" w:lineRule="auto"/>
        <w:rPr>
          <w:rFonts w:ascii="Tahoma" w:hAnsi="Tahoma" w:cs="Tahoma"/>
        </w:rPr>
      </w:pPr>
      <w:r>
        <w:rPr>
          <w:rFonts w:ascii="Tahoma" w:hAnsi="Tahoma" w:cs="Tahoma"/>
        </w:rPr>
        <w:t>Cuentas por Pagar</w:t>
      </w:r>
      <w:r>
        <w:rPr>
          <w:rFonts w:ascii="Tahoma" w:hAnsi="Tahoma" w:cs="Tahoma"/>
        </w:rPr>
        <w:tab/>
      </w:r>
      <w:r>
        <w:rPr>
          <w:rFonts w:ascii="Tahoma" w:hAnsi="Tahoma" w:cs="Tahoma"/>
        </w:rPr>
        <w:tab/>
      </w:r>
      <w:r>
        <w:rPr>
          <w:rFonts w:ascii="Tahoma" w:hAnsi="Tahoma" w:cs="Tahoma"/>
        </w:rPr>
        <w:tab/>
        <w:t xml:space="preserve">            $  460.308</w:t>
      </w:r>
    </w:p>
    <w:p w:rsidR="00A73DE7" w:rsidRPr="00AD4CE9" w:rsidRDefault="00A73DE7" w:rsidP="00A73DE7">
      <w:pPr>
        <w:spacing w:line="228" w:lineRule="auto"/>
        <w:rPr>
          <w:rFonts w:ascii="Tahoma" w:hAnsi="Tahoma" w:cs="Tahoma"/>
        </w:rPr>
      </w:pPr>
      <w:r w:rsidRPr="00AD4CE9">
        <w:rPr>
          <w:rFonts w:ascii="Tahoma" w:hAnsi="Tahoma" w:cs="Tahoma"/>
        </w:rPr>
        <w:t>Obligaciones Laborales</w:t>
      </w:r>
      <w:r w:rsidRPr="00AD4CE9">
        <w:rPr>
          <w:rFonts w:ascii="Tahoma" w:hAnsi="Tahoma" w:cs="Tahoma"/>
        </w:rPr>
        <w:tab/>
      </w:r>
      <w:r w:rsidRPr="00AD4CE9">
        <w:rPr>
          <w:rFonts w:ascii="Tahoma" w:hAnsi="Tahoma" w:cs="Tahoma"/>
        </w:rPr>
        <w:tab/>
      </w:r>
      <w:r w:rsidRPr="00AD4CE9">
        <w:rPr>
          <w:rFonts w:ascii="Tahoma" w:hAnsi="Tahoma" w:cs="Tahoma"/>
        </w:rPr>
        <w:tab/>
      </w:r>
      <w:r>
        <w:rPr>
          <w:rFonts w:ascii="Tahoma" w:hAnsi="Tahoma" w:cs="Tahoma"/>
        </w:rPr>
        <w:t xml:space="preserve">       50.545</w:t>
      </w:r>
    </w:p>
    <w:p w:rsidR="00A73DE7" w:rsidRPr="00AD4CE9" w:rsidRDefault="00A73DE7" w:rsidP="00A73DE7">
      <w:pPr>
        <w:spacing w:line="228" w:lineRule="auto"/>
        <w:rPr>
          <w:rFonts w:ascii="Tahoma" w:hAnsi="Tahoma" w:cs="Tahoma"/>
        </w:rPr>
      </w:pPr>
      <w:r w:rsidRPr="00AD4CE9">
        <w:rPr>
          <w:rFonts w:ascii="Tahoma" w:hAnsi="Tahoma" w:cs="Tahoma"/>
        </w:rPr>
        <w:t xml:space="preserve">    </w:t>
      </w:r>
      <w:r w:rsidRPr="00AD4CE9">
        <w:rPr>
          <w:rFonts w:ascii="Tahoma" w:hAnsi="Tahoma" w:cs="Tahoma"/>
        </w:rPr>
        <w:tab/>
      </w:r>
      <w:r w:rsidRPr="00AD4CE9">
        <w:rPr>
          <w:rFonts w:ascii="Tahoma" w:hAnsi="Tahoma" w:cs="Tahoma"/>
        </w:rPr>
        <w:tab/>
      </w:r>
      <w:r w:rsidRPr="00AD4CE9">
        <w:rPr>
          <w:rFonts w:ascii="Tahoma" w:hAnsi="Tahoma" w:cs="Tahoma"/>
        </w:rPr>
        <w:tab/>
      </w:r>
      <w:r w:rsidRPr="00AD4CE9">
        <w:rPr>
          <w:rFonts w:ascii="Tahoma" w:hAnsi="Tahoma" w:cs="Tahoma"/>
        </w:rPr>
        <w:tab/>
      </w:r>
      <w:r w:rsidRPr="00AD4CE9">
        <w:rPr>
          <w:rFonts w:ascii="Tahoma" w:hAnsi="Tahoma" w:cs="Tahoma"/>
        </w:rPr>
        <w:tab/>
        <w:t xml:space="preserve">          -------------------</w:t>
      </w:r>
    </w:p>
    <w:p w:rsidR="00A73DE7" w:rsidRPr="00AD4CE9" w:rsidRDefault="00A73DE7" w:rsidP="00A73DE7">
      <w:pPr>
        <w:spacing w:line="228" w:lineRule="auto"/>
        <w:rPr>
          <w:rFonts w:ascii="Tahoma" w:hAnsi="Tahoma" w:cs="Tahoma"/>
        </w:rPr>
      </w:pPr>
      <w:r>
        <w:rPr>
          <w:rFonts w:ascii="Tahoma" w:hAnsi="Tahoma" w:cs="Tahoma"/>
        </w:rPr>
        <w:tab/>
      </w:r>
      <w:r>
        <w:rPr>
          <w:rFonts w:ascii="Tahoma" w:hAnsi="Tahoma" w:cs="Tahoma"/>
        </w:rPr>
        <w:tab/>
      </w:r>
      <w:r>
        <w:rPr>
          <w:rFonts w:ascii="Tahoma" w:hAnsi="Tahoma" w:cs="Tahoma"/>
        </w:rPr>
        <w:tab/>
      </w:r>
      <w:r>
        <w:rPr>
          <w:rFonts w:ascii="Tahoma" w:hAnsi="Tahoma" w:cs="Tahoma"/>
        </w:rPr>
        <w:tab/>
      </w:r>
      <w:r>
        <w:rPr>
          <w:rFonts w:ascii="Tahoma" w:hAnsi="Tahoma" w:cs="Tahoma"/>
        </w:rPr>
        <w:tab/>
        <w:t xml:space="preserve">              $510.853</w:t>
      </w:r>
    </w:p>
    <w:p w:rsidR="00A73DE7" w:rsidRPr="00AD4CE9" w:rsidRDefault="00A73DE7" w:rsidP="00A73DE7">
      <w:pPr>
        <w:spacing w:line="228" w:lineRule="auto"/>
        <w:rPr>
          <w:rFonts w:ascii="Tahoma" w:hAnsi="Tahoma" w:cs="Tahoma"/>
        </w:rPr>
      </w:pPr>
    </w:p>
    <w:p w:rsidR="00A73DE7" w:rsidRPr="00AD4CE9" w:rsidRDefault="00A73DE7" w:rsidP="00A73DE7">
      <w:pPr>
        <w:spacing w:line="228" w:lineRule="auto"/>
        <w:rPr>
          <w:rFonts w:ascii="Tahoma" w:hAnsi="Tahoma" w:cs="Tahoma"/>
        </w:rPr>
      </w:pPr>
      <w:r>
        <w:rPr>
          <w:rFonts w:ascii="Tahoma" w:hAnsi="Tahoma" w:cs="Tahoma"/>
        </w:rPr>
        <w:t>Razón Corriente  $1.532.076 / $510.853 = 2.99</w:t>
      </w:r>
    </w:p>
    <w:p w:rsidR="00A73DE7" w:rsidRPr="00AD4CE9" w:rsidRDefault="00A73DE7" w:rsidP="00A73DE7">
      <w:pPr>
        <w:spacing w:line="228" w:lineRule="auto"/>
        <w:rPr>
          <w:rFonts w:ascii="Tahoma" w:hAnsi="Tahoma" w:cs="Tahoma"/>
        </w:rPr>
      </w:pPr>
      <w:r>
        <w:rPr>
          <w:rFonts w:ascii="Tahoma" w:hAnsi="Tahoma" w:cs="Tahoma"/>
        </w:rPr>
        <w:t xml:space="preserve"> </w:t>
      </w:r>
    </w:p>
    <w:p w:rsidR="00A73DE7" w:rsidRPr="00AD4CE9" w:rsidRDefault="00A73DE7" w:rsidP="00A73DE7">
      <w:pPr>
        <w:spacing w:line="228" w:lineRule="auto"/>
        <w:jc w:val="both"/>
        <w:rPr>
          <w:rFonts w:ascii="Tahoma" w:hAnsi="Tahoma" w:cs="Tahoma"/>
        </w:rPr>
      </w:pPr>
      <w:r w:rsidRPr="00AD4CE9">
        <w:rPr>
          <w:rFonts w:ascii="Tahoma" w:hAnsi="Tahoma" w:cs="Tahoma"/>
        </w:rPr>
        <w:t>El anterior resultado nos muestra que por cada peso que</w:t>
      </w:r>
      <w:r>
        <w:rPr>
          <w:rFonts w:ascii="Tahoma" w:hAnsi="Tahoma" w:cs="Tahoma"/>
        </w:rPr>
        <w:t xml:space="preserve"> la ESE “Nuestra Señora de Lourdes del Municipio de Ataco” </w:t>
      </w:r>
      <w:r w:rsidRPr="00AD4CE9">
        <w:rPr>
          <w:rFonts w:ascii="Tahoma" w:hAnsi="Tahoma" w:cs="Tahoma"/>
        </w:rPr>
        <w:t xml:space="preserve">debe a corto plazo, cuenta con </w:t>
      </w:r>
      <w:r>
        <w:rPr>
          <w:rFonts w:ascii="Tahoma" w:hAnsi="Tahoma" w:cs="Tahoma"/>
        </w:rPr>
        <w:t>$2.99</w:t>
      </w:r>
      <w:r w:rsidRPr="00AD4CE9">
        <w:rPr>
          <w:rFonts w:ascii="Tahoma" w:hAnsi="Tahoma" w:cs="Tahoma"/>
        </w:rPr>
        <w:t xml:space="preserve">  pesos en activos corriente para cu</w:t>
      </w:r>
      <w:r>
        <w:rPr>
          <w:rFonts w:ascii="Tahoma" w:hAnsi="Tahoma" w:cs="Tahoma"/>
        </w:rPr>
        <w:t xml:space="preserve">brirlos, lo que significa la escasa liquidez de la entidad </w:t>
      </w:r>
      <w:r w:rsidRPr="00AD4CE9">
        <w:rPr>
          <w:rFonts w:ascii="Tahoma" w:hAnsi="Tahoma" w:cs="Tahoma"/>
        </w:rPr>
        <w:t xml:space="preserve"> para cubrir sus pasivos de corto plazo.</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CAPITAL NETO DE TRABAJO</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El capital neto de trabajo es el resultado de restar del activo corriente los pasivos a corto plazo de la entidad. El capital de trabajo se considera como aquellos recursos que necesita la entidad para operar.</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Formula: Activo Corriente – Pasivo Corriente</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rPr>
          <w:rFonts w:ascii="Tahoma" w:hAnsi="Tahoma" w:cs="Tahoma"/>
        </w:rPr>
      </w:pPr>
      <w:r>
        <w:rPr>
          <w:rFonts w:ascii="Tahoma" w:hAnsi="Tahoma" w:cs="Tahoma"/>
        </w:rPr>
        <w:t xml:space="preserve">$1.532.076 - $510.853 </w:t>
      </w:r>
      <w:r w:rsidRPr="00AD4CE9">
        <w:rPr>
          <w:rFonts w:ascii="Tahoma" w:hAnsi="Tahoma" w:cs="Tahoma"/>
        </w:rPr>
        <w:t>= $</w:t>
      </w:r>
      <w:r>
        <w:rPr>
          <w:rFonts w:ascii="Tahoma" w:hAnsi="Tahoma" w:cs="Tahoma"/>
        </w:rPr>
        <w:t>1.021.223</w:t>
      </w:r>
    </w:p>
    <w:p w:rsidR="00A73DE7" w:rsidRPr="00AD4CE9"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sidRPr="00AD4CE9">
        <w:rPr>
          <w:rFonts w:ascii="Tahoma" w:hAnsi="Tahoma" w:cs="Tahoma"/>
        </w:rPr>
        <w:t xml:space="preserve">El anterior resultado nos indica que </w:t>
      </w:r>
      <w:r>
        <w:rPr>
          <w:rFonts w:ascii="Tahoma" w:hAnsi="Tahoma" w:cs="Tahoma"/>
        </w:rPr>
        <w:t>la entidad</w:t>
      </w:r>
      <w:r w:rsidRPr="00AD4CE9">
        <w:rPr>
          <w:rFonts w:ascii="Tahoma" w:hAnsi="Tahoma" w:cs="Tahoma"/>
        </w:rPr>
        <w:t xml:space="preserve"> cuenta con suficientes recursos propios para operar.</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NIVEL DE ENDEUDAMIENTO</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Este indicador nos presenta el porcentaje de participación de los acreedores dentro de l</w:t>
      </w:r>
      <w:r>
        <w:rPr>
          <w:rFonts w:ascii="Tahoma" w:hAnsi="Tahoma" w:cs="Tahoma"/>
        </w:rPr>
        <w:t>os activos de la Fábrica de Licores del Tolima</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Formula: Pasivo Total con Terceros / Activo Total</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Pr>
          <w:rFonts w:ascii="Tahoma" w:hAnsi="Tahoma" w:cs="Tahoma"/>
        </w:rPr>
        <w:t>$510.853 /$6.628.385</w:t>
      </w:r>
      <w:r w:rsidRPr="00AD4CE9">
        <w:rPr>
          <w:rFonts w:ascii="Tahoma" w:hAnsi="Tahoma" w:cs="Tahoma"/>
        </w:rPr>
        <w:t xml:space="preserve"> = </w:t>
      </w:r>
      <w:r>
        <w:rPr>
          <w:rFonts w:ascii="Tahoma" w:hAnsi="Tahoma" w:cs="Tahoma"/>
        </w:rPr>
        <w:t>7.70</w:t>
      </w:r>
      <w:r w:rsidRPr="00AD4CE9">
        <w:rPr>
          <w:rFonts w:ascii="Tahoma" w:hAnsi="Tahoma" w:cs="Tahoma"/>
        </w:rPr>
        <w:t>%</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 xml:space="preserve">El anterior resultado nos indica que del total de activos que posee </w:t>
      </w:r>
      <w:r>
        <w:rPr>
          <w:rFonts w:ascii="Tahoma" w:hAnsi="Tahoma" w:cs="Tahoma"/>
        </w:rPr>
        <w:t>la ESE Nuestra Señora de Lourdes del Municipio de Ataco</w:t>
      </w:r>
      <w:r w:rsidRPr="00AD4CE9">
        <w:rPr>
          <w:rFonts w:ascii="Tahoma" w:hAnsi="Tahoma" w:cs="Tahoma"/>
        </w:rPr>
        <w:t xml:space="preserve">, el </w:t>
      </w:r>
      <w:r>
        <w:rPr>
          <w:rFonts w:ascii="Tahoma" w:hAnsi="Tahoma" w:cs="Tahoma"/>
        </w:rPr>
        <w:t>7.70</w:t>
      </w:r>
      <w:r w:rsidRPr="00AD4CE9">
        <w:rPr>
          <w:rFonts w:ascii="Tahoma" w:hAnsi="Tahoma" w:cs="Tahoma"/>
        </w:rPr>
        <w:t>% está siendo financiado por los acreedores.</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RAZÓN DEL PATRIMONIO</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Nos muestra hasta qué punto la entidad tiene independencia financiera ante sus acreedores, se determina dividiendo el valor del patrimonio entre el activo total.</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Formula: Patrimonio Total / Activo Total</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w:t>
      </w:r>
      <w:r>
        <w:rPr>
          <w:rFonts w:ascii="Tahoma" w:hAnsi="Tahoma" w:cs="Tahoma"/>
        </w:rPr>
        <w:t>6.047.006 /$6.628.385</w:t>
      </w:r>
      <w:r w:rsidRPr="00AD4CE9">
        <w:rPr>
          <w:rFonts w:ascii="Tahoma" w:hAnsi="Tahoma" w:cs="Tahoma"/>
        </w:rPr>
        <w:t xml:space="preserve">  </w:t>
      </w:r>
      <w:r>
        <w:rPr>
          <w:rFonts w:ascii="Tahoma" w:hAnsi="Tahoma" w:cs="Tahoma"/>
        </w:rPr>
        <w:t>= 91.22</w:t>
      </w:r>
      <w:r w:rsidRPr="00AD4CE9">
        <w:rPr>
          <w:rFonts w:ascii="Tahoma" w:hAnsi="Tahoma" w:cs="Tahoma"/>
        </w:rPr>
        <w:t>%</w:t>
      </w:r>
    </w:p>
    <w:p w:rsidR="00A73DE7" w:rsidRPr="00AD4CE9"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sidRPr="00AD4CE9">
        <w:rPr>
          <w:rFonts w:ascii="Tahoma" w:hAnsi="Tahoma" w:cs="Tahoma"/>
        </w:rPr>
        <w:t>El porcentaje establecido a</w:t>
      </w:r>
      <w:r>
        <w:rPr>
          <w:rFonts w:ascii="Tahoma" w:hAnsi="Tahoma" w:cs="Tahoma"/>
        </w:rPr>
        <w:t>nteriormente nos indica que el  91.22</w:t>
      </w:r>
      <w:r w:rsidRPr="00AD4CE9">
        <w:rPr>
          <w:rFonts w:ascii="Tahoma" w:hAnsi="Tahoma" w:cs="Tahoma"/>
        </w:rPr>
        <w:t>% de los activos, están siendo financiados con capital propio.</w:t>
      </w:r>
    </w:p>
    <w:p w:rsidR="00A73DE7"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p>
    <w:p w:rsidR="00A73DE7" w:rsidRPr="00AD4CE9" w:rsidRDefault="00A73DE7" w:rsidP="00A73DE7">
      <w:pPr>
        <w:pStyle w:val="Prrafodelista"/>
        <w:numPr>
          <w:ilvl w:val="0"/>
          <w:numId w:val="10"/>
        </w:numPr>
        <w:overflowPunct/>
        <w:autoSpaceDE/>
        <w:autoSpaceDN/>
        <w:adjustRightInd/>
        <w:spacing w:line="228" w:lineRule="auto"/>
        <w:jc w:val="both"/>
        <w:textAlignment w:val="auto"/>
        <w:rPr>
          <w:rFonts w:ascii="Tahoma" w:hAnsi="Tahoma" w:cs="Tahoma"/>
          <w:b/>
        </w:rPr>
      </w:pPr>
      <w:r w:rsidRPr="00AD4CE9">
        <w:rPr>
          <w:rFonts w:ascii="Tahoma" w:hAnsi="Tahoma" w:cs="Tahoma"/>
          <w:b/>
        </w:rPr>
        <w:lastRenderedPageBreak/>
        <w:t>CONCEPTUALIZACION SO</w:t>
      </w:r>
      <w:r>
        <w:rPr>
          <w:rFonts w:ascii="Tahoma" w:hAnsi="Tahoma" w:cs="Tahoma"/>
          <w:b/>
        </w:rPr>
        <w:t>BRE LOS ESTADOS FINANCIEROS 2015</w:t>
      </w:r>
    </w:p>
    <w:p w:rsidR="00A73DE7" w:rsidRPr="00AD4CE9"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La ESE Nuestra Señora de Lourdes del Municipio de Ataco,  d</w:t>
      </w:r>
      <w:r w:rsidRPr="00AD4CE9">
        <w:rPr>
          <w:rFonts w:ascii="Tahoma" w:hAnsi="Tahoma" w:cs="Tahoma"/>
        </w:rPr>
        <w:t>e acuerdo con su Balanc</w:t>
      </w:r>
      <w:r>
        <w:rPr>
          <w:rFonts w:ascii="Tahoma" w:hAnsi="Tahoma" w:cs="Tahoma"/>
        </w:rPr>
        <w:t>e General terminado en la fecha 31 de diciembre de 2015,</w:t>
      </w:r>
      <w:r w:rsidRPr="00AD4CE9">
        <w:rPr>
          <w:rFonts w:ascii="Tahoma" w:hAnsi="Tahoma" w:cs="Tahoma"/>
        </w:rPr>
        <w:t xml:space="preserve"> se observa que sus activos totales crecieron un </w:t>
      </w:r>
      <w:r>
        <w:rPr>
          <w:rFonts w:ascii="Tahoma" w:hAnsi="Tahoma" w:cs="Tahoma"/>
        </w:rPr>
        <w:t xml:space="preserve">51.85% en la suma de  $6.628,3 </w:t>
      </w:r>
      <w:r w:rsidRPr="00AD4CE9">
        <w:rPr>
          <w:rFonts w:ascii="Tahoma" w:hAnsi="Tahoma" w:cs="Tahoma"/>
        </w:rPr>
        <w:t>(mi</w:t>
      </w:r>
      <w:r>
        <w:rPr>
          <w:rFonts w:ascii="Tahoma" w:hAnsi="Tahoma" w:cs="Tahoma"/>
        </w:rPr>
        <w:t>l</w:t>
      </w:r>
      <w:r w:rsidRPr="00AD4CE9">
        <w:rPr>
          <w:rFonts w:ascii="Tahoma" w:hAnsi="Tahoma" w:cs="Tahoma"/>
        </w:rPr>
        <w:t xml:space="preserve">es de </w:t>
      </w:r>
      <w:r>
        <w:rPr>
          <w:rFonts w:ascii="Tahoma" w:hAnsi="Tahoma" w:cs="Tahoma"/>
        </w:rPr>
        <w:t>$), con relación al periodo 2014.</w:t>
      </w:r>
      <w:r w:rsidRPr="00AD4CE9">
        <w:rPr>
          <w:rFonts w:ascii="Tahoma" w:hAnsi="Tahoma" w:cs="Tahoma"/>
        </w:rPr>
        <w:t xml:space="preserve"> </w:t>
      </w:r>
    </w:p>
    <w:p w:rsidR="00A73DE7" w:rsidRDefault="00A73DE7" w:rsidP="00A73DE7">
      <w:pPr>
        <w:spacing w:line="228" w:lineRule="auto"/>
        <w:jc w:val="both"/>
        <w:rPr>
          <w:rFonts w:ascii="Tahoma" w:hAnsi="Tahoma" w:cs="Tahoma"/>
        </w:rPr>
      </w:pPr>
    </w:p>
    <w:p w:rsidR="00A73DE7" w:rsidRDefault="00A73DE7" w:rsidP="00A73DE7">
      <w:pPr>
        <w:spacing w:line="228" w:lineRule="auto"/>
        <w:jc w:val="both"/>
        <w:rPr>
          <w:rFonts w:ascii="Tahoma" w:hAnsi="Tahoma" w:cs="Tahoma"/>
        </w:rPr>
      </w:pPr>
      <w:r>
        <w:rPr>
          <w:rFonts w:ascii="Tahoma" w:hAnsi="Tahoma" w:cs="Tahoma"/>
        </w:rPr>
        <w:t>Su patrimonio creció un 52.31</w:t>
      </w:r>
      <w:r w:rsidRPr="00AD4CE9">
        <w:rPr>
          <w:rFonts w:ascii="Tahoma" w:hAnsi="Tahoma" w:cs="Tahoma"/>
        </w:rPr>
        <w:t>%, apalancado princip</w:t>
      </w:r>
      <w:r>
        <w:rPr>
          <w:rFonts w:ascii="Tahoma" w:hAnsi="Tahoma" w:cs="Tahoma"/>
        </w:rPr>
        <w:t>almente por la cuenta “Resultado del Ejercicio” que  finalizó la anualidad 2015, con un excedente en el periodo contable  de $5.518,3 millones después de haber finalizado el 2014 en $612 millones.</w:t>
      </w:r>
    </w:p>
    <w:p w:rsidR="00A73DE7" w:rsidRPr="00AD4CE9" w:rsidRDefault="00A73DE7" w:rsidP="00A73DE7">
      <w:pPr>
        <w:spacing w:line="228" w:lineRule="auto"/>
        <w:jc w:val="both"/>
        <w:rPr>
          <w:rFonts w:ascii="Tahoma" w:hAnsi="Tahoma" w:cs="Tahoma"/>
        </w:rPr>
      </w:pPr>
      <w:r w:rsidRPr="00AD4CE9">
        <w:rPr>
          <w:rFonts w:ascii="Tahoma" w:hAnsi="Tahoma" w:cs="Tahoma"/>
        </w:rPr>
        <w:t xml:space="preserve"> </w:t>
      </w:r>
    </w:p>
    <w:p w:rsidR="00A73DE7" w:rsidRPr="00AD4CE9" w:rsidRDefault="00A73DE7" w:rsidP="00A73DE7">
      <w:pPr>
        <w:spacing w:line="228" w:lineRule="auto"/>
        <w:jc w:val="both"/>
        <w:rPr>
          <w:rFonts w:ascii="Tahoma" w:hAnsi="Tahoma" w:cs="Tahoma"/>
        </w:rPr>
      </w:pPr>
      <w:r w:rsidRPr="00AD4CE9">
        <w:rPr>
          <w:rFonts w:ascii="Tahoma" w:hAnsi="Tahoma" w:cs="Tahoma"/>
        </w:rPr>
        <w:t xml:space="preserve">Su estructura financiera al </w:t>
      </w:r>
      <w:r>
        <w:rPr>
          <w:rFonts w:ascii="Tahoma" w:hAnsi="Tahoma" w:cs="Tahoma"/>
        </w:rPr>
        <w:t>cierre del periodo contable 2015, estaba representada en el 8.77% los pasivos y el 91.22</w:t>
      </w:r>
      <w:r w:rsidRPr="00AD4CE9">
        <w:rPr>
          <w:rFonts w:ascii="Tahoma" w:hAnsi="Tahoma" w:cs="Tahoma"/>
        </w:rPr>
        <w:t>% el patrimonio.</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Pr>
          <w:rFonts w:ascii="Tahoma" w:hAnsi="Tahoma" w:cs="Tahoma"/>
        </w:rPr>
        <w:t xml:space="preserve">La entidad </w:t>
      </w:r>
      <w:r w:rsidRPr="00AD4CE9">
        <w:rPr>
          <w:rFonts w:ascii="Tahoma" w:hAnsi="Tahoma" w:cs="Tahoma"/>
        </w:rPr>
        <w:t xml:space="preserve"> presenta un nivel de endeudamiento bajo respecto al total de sus activos, alcanzando un margen del </w:t>
      </w:r>
      <w:r>
        <w:rPr>
          <w:rFonts w:ascii="Tahoma" w:hAnsi="Tahoma" w:cs="Tahoma"/>
        </w:rPr>
        <w:t>7.70</w:t>
      </w:r>
      <w:r w:rsidRPr="00AD4CE9">
        <w:rPr>
          <w:rFonts w:ascii="Tahoma" w:hAnsi="Tahoma" w:cs="Tahoma"/>
        </w:rPr>
        <w:t>%.</w:t>
      </w:r>
    </w:p>
    <w:p w:rsidR="00A73DE7" w:rsidRPr="00AD4CE9" w:rsidRDefault="00A73DE7" w:rsidP="00A73DE7">
      <w:pPr>
        <w:spacing w:line="228" w:lineRule="auto"/>
        <w:jc w:val="both"/>
        <w:rPr>
          <w:rFonts w:ascii="Tahoma" w:hAnsi="Tahoma" w:cs="Tahoma"/>
        </w:rPr>
      </w:pPr>
    </w:p>
    <w:p w:rsidR="00A73DE7" w:rsidRPr="00AD4CE9" w:rsidRDefault="00A73DE7" w:rsidP="00A73DE7">
      <w:pPr>
        <w:spacing w:line="228" w:lineRule="auto"/>
        <w:jc w:val="both"/>
        <w:rPr>
          <w:rFonts w:ascii="Tahoma" w:hAnsi="Tahoma" w:cs="Tahoma"/>
        </w:rPr>
      </w:pPr>
      <w:r w:rsidRPr="00AD4CE9">
        <w:rPr>
          <w:rFonts w:ascii="Tahoma" w:hAnsi="Tahoma" w:cs="Tahoma"/>
        </w:rPr>
        <w:t>De acuerdo con los resultados de sus indicadores podemo</w:t>
      </w:r>
      <w:r>
        <w:rPr>
          <w:rFonts w:ascii="Tahoma" w:hAnsi="Tahoma" w:cs="Tahoma"/>
        </w:rPr>
        <w:t xml:space="preserve">s concluir que la ESE Nuestra Señora de Lourdes </w:t>
      </w:r>
      <w:r w:rsidRPr="00AD4CE9">
        <w:rPr>
          <w:rFonts w:ascii="Tahoma" w:hAnsi="Tahoma" w:cs="Tahoma"/>
        </w:rPr>
        <w:t>al corte del 3</w:t>
      </w:r>
      <w:r>
        <w:rPr>
          <w:rFonts w:ascii="Tahoma" w:hAnsi="Tahoma" w:cs="Tahoma"/>
        </w:rPr>
        <w:t>1 de diciembre de 2015</w:t>
      </w:r>
      <w:r w:rsidRPr="00AD4CE9">
        <w:rPr>
          <w:rFonts w:ascii="Tahoma" w:hAnsi="Tahoma" w:cs="Tahoma"/>
        </w:rPr>
        <w:t>, presentaba una situación financiera favorable.</w:t>
      </w:r>
    </w:p>
    <w:p w:rsidR="00A73DE7" w:rsidRPr="00BF5484" w:rsidRDefault="00A73DE7" w:rsidP="00BF5484">
      <w:pPr>
        <w:overflowPunct/>
        <w:autoSpaceDE/>
        <w:autoSpaceDN/>
        <w:adjustRightInd/>
        <w:spacing w:line="228" w:lineRule="auto"/>
        <w:textAlignment w:val="auto"/>
        <w:rPr>
          <w:rFonts w:ascii="Tahoma" w:eastAsia="Arial" w:hAnsi="Tahoma" w:cs="Tahoma"/>
          <w:noProof/>
          <w:color w:val="000000"/>
          <w:sz w:val="22"/>
          <w:szCs w:val="22"/>
          <w:lang w:eastAsia="es-CO"/>
        </w:rPr>
      </w:pPr>
    </w:p>
    <w:sectPr w:rsidR="00A73DE7" w:rsidRPr="00BF5484" w:rsidSect="00785952">
      <w:headerReference w:type="default" r:id="rId13"/>
      <w:footerReference w:type="default" r:id="rId14"/>
      <w:pgSz w:w="12240" w:h="15840" w:code="1"/>
      <w:pgMar w:top="2340" w:right="1418" w:bottom="2268" w:left="1758" w:header="0"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1D2E" w:rsidRDefault="008C1D2E" w:rsidP="00650A99">
      <w:r>
        <w:separator/>
      </w:r>
    </w:p>
  </w:endnote>
  <w:endnote w:type="continuationSeparator" w:id="0">
    <w:p w:rsidR="008C1D2E" w:rsidRDefault="008C1D2E" w:rsidP="00650A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646E" w:rsidRDefault="006C646E" w:rsidP="00650A99">
    <w:pPr>
      <w:pStyle w:val="Piedepgina"/>
      <w:jc w:val="center"/>
      <w:rPr>
        <w:rFonts w:cs="Arial"/>
        <w:sz w:val="20"/>
      </w:rPr>
    </w:pPr>
    <w:r>
      <w:rPr>
        <w:rFonts w:cs="Arial"/>
        <w:sz w:val="20"/>
      </w:rPr>
      <w:t>______________________________________________________________</w:t>
    </w:r>
  </w:p>
  <w:p w:rsidR="006C646E" w:rsidRPr="002059E3" w:rsidRDefault="006C646E" w:rsidP="00650A99">
    <w:pPr>
      <w:pStyle w:val="Piedepgina"/>
      <w:jc w:val="center"/>
      <w:rPr>
        <w:rFonts w:cs="Arial"/>
        <w:sz w:val="20"/>
      </w:rPr>
    </w:pPr>
    <w:r>
      <w:rPr>
        <w:noProof/>
        <w:lang w:eastAsia="es-CO"/>
      </w:rPr>
      <mc:AlternateContent>
        <mc:Choice Requires="wps">
          <w:drawing>
            <wp:anchor distT="0" distB="0" distL="114300" distR="114300" simplePos="0" relativeHeight="251673600" behindDoc="0" locked="0" layoutInCell="1" allowOverlap="1" wp14:anchorId="3EBDB411" wp14:editId="0EB1D688">
              <wp:simplePos x="0" y="0"/>
              <wp:positionH relativeFrom="column">
                <wp:posOffset>4246245</wp:posOffset>
              </wp:positionH>
              <wp:positionV relativeFrom="paragraph">
                <wp:posOffset>114300</wp:posOffset>
              </wp:positionV>
              <wp:extent cx="2302510" cy="955040"/>
              <wp:effectExtent l="0" t="0" r="0" b="0"/>
              <wp:wrapNone/>
              <wp:docPr id="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2510" cy="955040"/>
                      </a:xfrm>
                      <a:prstGeom prst="rect">
                        <a:avLst/>
                      </a:prstGeom>
                      <a:noFill/>
                      <a:ln w="9525">
                        <a:noFill/>
                        <a:miter lim="800000"/>
                        <a:headEnd/>
                        <a:tailEnd/>
                      </a:ln>
                    </wps:spPr>
                    <wps:txbx>
                      <w:txbxContent>
                        <w:p w:rsidR="006C646E" w:rsidRDefault="006C646E"/>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334.35pt;margin-top:9pt;width:181.3pt;height:75.2pt;z-index:2516736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b2SEQIAAAAEAAAOAAAAZHJzL2Uyb0RvYy54bWysU9uO2yAQfa/Uf0C8N3a8SbtrxVlts01V&#10;aXuRtv0ADDhGBYYCiZ1+/Q44m43at6p+QIyHOcw5c1jdjkaTg/RBgW3ofFZSIi0HoeyuoT++b99c&#10;UxIis4JpsLKhRxno7fr1q9XgallBD1pITxDEhnpwDe1jdHVRBN5Lw8IMnLSY7MAbFjH0u0J4NiC6&#10;0UVVlm+LAbxwHrgMAf/eT0m6zvhdJ3n82nVBRqIbir3FvPq8tmkt1itW7zxzveKnNtg/dGGYsnjp&#10;GeqeRUb2Xv0FZRT3EKCLMw6mgK5TXGYOyGZe/sHmsWdOZi4oTnBnmcL/g+VfDt88UaKhV5RYZnBE&#10;mz0THoiQJMoxAqmSSIMLNZ59dHg6ju9hxGFnwsE9AP8ZiIVNz+xO3nkPQy+ZwCbnqbK4KJ1wQgJp&#10;h88g8Da2j5CBxs6bpCBqQhAdh3U8Dwj7IBx/VldltZxjimPuZrksF3mCBaufq50P8aMEQ9KmoR4N&#10;kNHZ4SHE1A2rn4+kyyxsldbZBNqSIYFWy1xwkTEqoke1Mg29LtM3uSaR/GBFLo5M6WmPF2h7Yp2I&#10;TpTj2I5Z5SxJUqQFcUQZPEyWxCeEmx78b0oGtGNDw68985IS/cmilDfzBXIlMQeL5bsKA3+ZaS8z&#10;zHKEamikZNpuYvZ8ohzcHUq+VVmNl05OLaPNskinJ5F8fBnnUy8Pd/0EAAD//wMAUEsDBBQABgAI&#10;AAAAIQAT8AWp3wAAAAsBAAAPAAAAZHJzL2Rvd25yZXYueG1sTI9LT8MwEITvSPwHa5G4Uac0TaMQ&#10;p0I8pB77AImjG28ewl5HsduGf8/2BLcdzafZmXI9OSvOOIbek4L5LAGBVHvTU6vg4/D+kIMIUZPR&#10;1hMq+MEA6+r2ptSF8Rfa4XkfW8EhFAqtoItxKKQMdYdOh5kfkNhr/Oh0ZDm20oz6wuHOysckyaTT&#10;PfGHTg/40mH9vT85BZ/0ZTdNajpcLbfpbnh7bZbxoNT93fT8BCLiFP9guNbn6lBxp6M/kQnCKsiy&#10;fMUoGzlvugLJYr4AceQry1OQVSn/b6h+AQAA//8DAFBLAQItABQABgAIAAAAIQC2gziS/gAAAOEB&#10;AAATAAAAAAAAAAAAAAAAAAAAAABbQ29udGVudF9UeXBlc10ueG1sUEsBAi0AFAAGAAgAAAAhADj9&#10;If/WAAAAlAEAAAsAAAAAAAAAAAAAAAAALwEAAF9yZWxzLy5yZWxzUEsBAi0AFAAGAAgAAAAhAC3R&#10;vZIRAgAAAAQAAA4AAAAAAAAAAAAAAAAALgIAAGRycy9lMm9Eb2MueG1sUEsBAi0AFAAGAAgAAAAh&#10;ABPwBanfAAAACwEAAA8AAAAAAAAAAAAAAAAAawQAAGRycy9kb3ducmV2LnhtbFBLBQYAAAAABAAE&#10;APMAAAB3BQAAAAA=&#10;" filled="f" stroked="f">
              <v:textbox style="mso-fit-shape-to-text:t">
                <w:txbxContent>
                  <w:p w:rsidR="006C646E" w:rsidRDefault="006C646E"/>
                </w:txbxContent>
              </v:textbox>
            </v:shape>
          </w:pict>
        </mc:Fallback>
      </mc:AlternateContent>
    </w:r>
    <w:r w:rsidRPr="002059E3">
      <w:rPr>
        <w:rFonts w:cs="Arial"/>
        <w:sz w:val="20"/>
      </w:rPr>
      <w:t xml:space="preserve">Edificio Gobernación del Tolima Piso 7 </w:t>
    </w:r>
    <w:r>
      <w:rPr>
        <w:rFonts w:cs="Arial"/>
        <w:sz w:val="20"/>
      </w:rPr>
      <w:t xml:space="preserve">- </w:t>
    </w:r>
    <w:r w:rsidRPr="002059E3">
      <w:rPr>
        <w:rFonts w:cs="Arial"/>
        <w:sz w:val="20"/>
      </w:rPr>
      <w:t>Conmutador 2 61 11 67 Ibagué</w:t>
    </w:r>
  </w:p>
  <w:p w:rsidR="006C646E" w:rsidRPr="002059E3" w:rsidRDefault="006C646E" w:rsidP="00650A99">
    <w:pPr>
      <w:pStyle w:val="Piedepgina"/>
      <w:jc w:val="center"/>
      <w:rPr>
        <w:rFonts w:cs="Arial"/>
        <w:sz w:val="20"/>
        <w:lang w:val="en-US"/>
      </w:rPr>
    </w:pPr>
    <w:r w:rsidRPr="002059E3">
      <w:rPr>
        <w:rFonts w:cs="Arial"/>
        <w:sz w:val="20"/>
        <w:lang w:val="en-US"/>
      </w:rPr>
      <w:t xml:space="preserve">Web-site: </w:t>
    </w:r>
    <w:hyperlink r:id="rId1" w:history="1">
      <w:r w:rsidRPr="00650A99">
        <w:rPr>
          <w:rStyle w:val="Hipervnculo"/>
          <w:rFonts w:cs="Arial"/>
          <w:color w:val="auto"/>
          <w:sz w:val="20"/>
          <w:u w:val="none"/>
          <w:lang w:val="en-US"/>
        </w:rPr>
        <w:t>www.contraloriatolima.gov.co</w:t>
      </w:r>
    </w:hyperlink>
  </w:p>
  <w:p w:rsidR="006C646E" w:rsidRPr="0070120A" w:rsidRDefault="006C646E">
    <w:pPr>
      <w:pStyle w:val="Piedepgina"/>
      <w:rPr>
        <w:lang w:val="en-US"/>
      </w:rPr>
    </w:pPr>
    <w:r>
      <w:rPr>
        <w:lang w:val="en-US"/>
      </w:rPr>
      <w:t xml:space="preserve">                        </w:t>
    </w:r>
    <w:r>
      <w:rPr>
        <w:lang w:val="en-US"/>
      </w:rPr>
      <w:tab/>
    </w:r>
    <w:r>
      <w:rPr>
        <w:lang w:val="en-US"/>
      </w:rPr>
      <w:tab/>
      <w:t xml:space="preserve">                     </w:t>
    </w:r>
    <w:r>
      <w:rPr>
        <w:lang w:val="en-US"/>
      </w:rPr>
      <w:tab/>
    </w:r>
    <w:r>
      <w:rPr>
        <w:lang w:val="en-US"/>
      </w:rPr>
      <w:tab/>
    </w:r>
    <w:r>
      <w:rPr>
        <w:lang w:val="en-US"/>
      </w:rPr>
      <w:tab/>
    </w:r>
    <w:r>
      <w:rPr>
        <w:lang w:val="en-US"/>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1D2E" w:rsidRDefault="008C1D2E" w:rsidP="00650A99">
      <w:r>
        <w:separator/>
      </w:r>
    </w:p>
  </w:footnote>
  <w:footnote w:type="continuationSeparator" w:id="0">
    <w:p w:rsidR="008C1D2E" w:rsidRDefault="008C1D2E" w:rsidP="00650A9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5952" w:rsidRDefault="00785952">
    <w:pPr>
      <w:pStyle w:val="Encabezado"/>
      <w:rPr>
        <w:noProof/>
        <w:lang w:eastAsia="es-CO"/>
      </w:rPr>
    </w:pPr>
  </w:p>
  <w:p w:rsidR="006C646E" w:rsidRDefault="00785952">
    <w:pPr>
      <w:pStyle w:val="Encabezado"/>
    </w:pPr>
    <w:r>
      <w:rPr>
        <w:noProof/>
        <w:lang w:eastAsia="es-CO"/>
      </w:rPr>
      <w:drawing>
        <wp:inline distT="0" distB="0" distL="0" distR="0" wp14:anchorId="6A0B6CCF" wp14:editId="535A2D3F">
          <wp:extent cx="1571625" cy="1219200"/>
          <wp:effectExtent l="0" t="0" r="9525"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 Contraloria.png"/>
                  <pic:cNvPicPr/>
                </pic:nvPicPr>
                <pic:blipFill>
                  <a:blip r:embed="rId1">
                    <a:extLst>
                      <a:ext uri="{28A0092B-C50C-407E-A947-70E740481C1C}">
                        <a14:useLocalDpi xmlns:a14="http://schemas.microsoft.com/office/drawing/2010/main" val="0"/>
                      </a:ext>
                    </a:extLst>
                  </a:blip>
                  <a:stretch>
                    <a:fillRect/>
                  </a:stretch>
                </pic:blipFill>
                <pic:spPr>
                  <a:xfrm>
                    <a:off x="0" y="0"/>
                    <a:ext cx="1571625" cy="1219200"/>
                  </a:xfrm>
                  <a:prstGeom prst="rect">
                    <a:avLst/>
                  </a:prstGeom>
                </pic:spPr>
              </pic:pic>
            </a:graphicData>
          </a:graphic>
        </wp:inline>
      </w:drawing>
    </w:r>
    <w:r w:rsidR="006C646E">
      <w:rPr>
        <w:noProof/>
        <w:lang w:eastAsia="es-CO"/>
      </w:rPr>
      <mc:AlternateContent>
        <mc:Choice Requires="wps">
          <w:drawing>
            <wp:anchor distT="0" distB="0" distL="114300" distR="114300" simplePos="0" relativeHeight="251677696" behindDoc="0" locked="0" layoutInCell="1" allowOverlap="1" wp14:anchorId="4586A0E1" wp14:editId="58D6AD28">
              <wp:simplePos x="0" y="0"/>
              <wp:positionH relativeFrom="column">
                <wp:posOffset>5981700</wp:posOffset>
              </wp:positionH>
              <wp:positionV relativeFrom="paragraph">
                <wp:posOffset>2516505</wp:posOffset>
              </wp:positionV>
              <wp:extent cx="772795" cy="5320030"/>
              <wp:effectExtent l="0" t="0" r="0" b="508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2795" cy="5320030"/>
                      </a:xfrm>
                      <a:prstGeom prst="rect">
                        <a:avLst/>
                      </a:prstGeom>
                      <a:noFill/>
                      <a:ln w="9525">
                        <a:noFill/>
                        <a:miter lim="800000"/>
                        <a:headEnd/>
                        <a:tailEnd/>
                      </a:ln>
                    </wps:spPr>
                    <wps:txbx>
                      <w:txbxContent>
                        <w:p w:rsidR="006C646E" w:rsidRDefault="006C646E"/>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uadro de texto 2" o:spid="_x0000_s1026" type="#_x0000_t202" style="position:absolute;margin-left:471pt;margin-top:198.15pt;width:60.85pt;height:418.9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nzKEwIAAPsDAAAOAAAAZHJzL2Uyb0RvYy54bWysU9uO2yAQfa/Uf0C8N3acpNlYcVbbbFNV&#10;2l6kbT+AAI5RgaFAYm+/vgPOZqP2raofEHhmDnPOHNa3g9HkJH1QYBs6nZSUSMtBKHto6Pdvuzc3&#10;lITIrGAarGzokwz0dvP61bp3taygAy2kJwhiQ927hnYxurooAu+kYWECTloMtuANi3j0h0J41iO6&#10;0UVVlm+LHrxwHrgMAf/ej0G6yfhtK3n80rZBRqIbir3FvPq87tNabNasPnjmOsXPbbB/6MIwZfHS&#10;C9Q9i4wcvfoLyijuIUAbJxxMAW2ruMwckM20/IPNY8eczFxQnOAuMoX/B8s/n756okRDZ+WSEssM&#10;Dml7ZMIDEZJEOUQgVZKpd6HG7EeH+XF4BwOOO1MO7gH4j0AsbDtmD/LOe+g7yQS2OU2VxVXpiBMS&#10;yL7/BAJvY8cIGWhovUkaoioE0XFcT5cRYR+E48/lslquFpRwDC1m6IBZnmHB6udq50P8IMGQtGmo&#10;RwtkdHZ6CDF1w+rnlHSZhZ3SOttAW9I3dLWoFrngKmJURJdqZRp6U6Zv9E0i+d6KXByZ0uMeL9D2&#10;zDoRHSnHYT9gYpJiD+IJ+XsY3YivBzcd+F+U9OjEhoafR+YlJfqjRQ1X0/k8WTcf5otlhQd/Hdlf&#10;R5jlCNXQSMm43cZs98Q1uDvUeqeyDC+dnHtFh2V1zq8hWfj6nLNe3uzmNwAAAP//AwBQSwMEFAAG&#10;AAgAAAAhAOMUFuziAAAADQEAAA8AAABkcnMvZG93bnJldi54bWxMj8FOwzAQRO9I/IO1SNyo3aRK&#10;aRqnqlBbjkCJenbjJYmI15HtpuHvcU9wm9WMZt8Um8n0bETnO0sS5jMBDKm2uqNGQvW5f3oG5oMi&#10;rXpLKOEHPWzK+7tC5dpe6QPHY2hYLCGfKwltCEPOua9bNMrP7IAUvS/rjArxdA3XTl1juel5IkTG&#10;jeoofmjVgC8t1t/Hi5EwhOGwfHVv79vdfhTV6VAlXbOT8vFh2q6BBZzCXxhu+BEdysh0thfSnvUS&#10;VoskbgkS0lWWArslRJYugZ2jStLFHHhZ8P8ryl8AAAD//wMAUEsBAi0AFAAGAAgAAAAhALaDOJL+&#10;AAAA4QEAABMAAAAAAAAAAAAAAAAAAAAAAFtDb250ZW50X1R5cGVzXS54bWxQSwECLQAUAAYACAAA&#10;ACEAOP0h/9YAAACUAQAACwAAAAAAAAAAAAAAAAAvAQAAX3JlbHMvLnJlbHNQSwECLQAUAAYACAAA&#10;ACEAlAZ8yhMCAAD7AwAADgAAAAAAAAAAAAAAAAAuAgAAZHJzL2Uyb0RvYy54bWxQSwECLQAUAAYA&#10;CAAAACEA4xQW7OIAAAANAQAADwAAAAAAAAAAAAAAAABtBAAAZHJzL2Rvd25yZXYueG1sUEsFBgAA&#10;AAAEAAQA8wAAAHwFAAAAAA==&#10;" filled="f" stroked="f">
              <v:textbox style="mso-fit-shape-to-text:t">
                <w:txbxContent>
                  <w:p w:rsidR="006C646E" w:rsidRDefault="006C646E"/>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927A80"/>
    <w:multiLevelType w:val="hybridMultilevel"/>
    <w:tmpl w:val="B220F46E"/>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278422C0"/>
    <w:multiLevelType w:val="hybridMultilevel"/>
    <w:tmpl w:val="920E93BE"/>
    <w:lvl w:ilvl="0" w:tplc="579A0282">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408611DE"/>
    <w:multiLevelType w:val="hybridMultilevel"/>
    <w:tmpl w:val="2FE027E4"/>
    <w:lvl w:ilvl="0" w:tplc="24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514A5982"/>
    <w:multiLevelType w:val="hybridMultilevel"/>
    <w:tmpl w:val="4816C77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nsid w:val="586B58FA"/>
    <w:multiLevelType w:val="multilevel"/>
    <w:tmpl w:val="000C0EF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nsid w:val="64FF467D"/>
    <w:multiLevelType w:val="hybridMultilevel"/>
    <w:tmpl w:val="DEB09BFE"/>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nsid w:val="698033D0"/>
    <w:multiLevelType w:val="multilevel"/>
    <w:tmpl w:val="000C0EF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nsid w:val="6C0D7B69"/>
    <w:multiLevelType w:val="hybridMultilevel"/>
    <w:tmpl w:val="B3346AAC"/>
    <w:lvl w:ilvl="0" w:tplc="24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75260F29"/>
    <w:multiLevelType w:val="hybridMultilevel"/>
    <w:tmpl w:val="B91034D4"/>
    <w:lvl w:ilvl="0" w:tplc="240A0009">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nsid w:val="7601466A"/>
    <w:multiLevelType w:val="hybridMultilevel"/>
    <w:tmpl w:val="02582F7A"/>
    <w:lvl w:ilvl="0" w:tplc="240A0009">
      <w:start w:val="1"/>
      <w:numFmt w:val="bullet"/>
      <w:lvlText w:val=""/>
      <w:lvlJc w:val="left"/>
      <w:pPr>
        <w:ind w:left="780" w:hanging="360"/>
      </w:pPr>
      <w:rPr>
        <w:rFonts w:ascii="Wingdings" w:hAnsi="Wingdings" w:hint="default"/>
      </w:rPr>
    </w:lvl>
    <w:lvl w:ilvl="1" w:tplc="0C0A0003" w:tentative="1">
      <w:start w:val="1"/>
      <w:numFmt w:val="bullet"/>
      <w:lvlText w:val="o"/>
      <w:lvlJc w:val="left"/>
      <w:pPr>
        <w:ind w:left="1500" w:hanging="360"/>
      </w:pPr>
      <w:rPr>
        <w:rFonts w:ascii="Courier New" w:hAnsi="Courier New" w:cs="Courier New" w:hint="default"/>
      </w:rPr>
    </w:lvl>
    <w:lvl w:ilvl="2" w:tplc="0C0A0005" w:tentative="1">
      <w:start w:val="1"/>
      <w:numFmt w:val="bullet"/>
      <w:lvlText w:val=""/>
      <w:lvlJc w:val="left"/>
      <w:pPr>
        <w:ind w:left="2220" w:hanging="360"/>
      </w:pPr>
      <w:rPr>
        <w:rFonts w:ascii="Wingdings" w:hAnsi="Wingdings"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Courier New" w:hAnsi="Courier New" w:cs="Courier New" w:hint="default"/>
      </w:rPr>
    </w:lvl>
    <w:lvl w:ilvl="5" w:tplc="0C0A0005" w:tentative="1">
      <w:start w:val="1"/>
      <w:numFmt w:val="bullet"/>
      <w:lvlText w:val=""/>
      <w:lvlJc w:val="left"/>
      <w:pPr>
        <w:ind w:left="4380" w:hanging="360"/>
      </w:pPr>
      <w:rPr>
        <w:rFonts w:ascii="Wingdings" w:hAnsi="Wingdings"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Courier New" w:hAnsi="Courier New" w:cs="Courier New" w:hint="default"/>
      </w:rPr>
    </w:lvl>
    <w:lvl w:ilvl="8" w:tplc="0C0A0005" w:tentative="1">
      <w:start w:val="1"/>
      <w:numFmt w:val="bullet"/>
      <w:lvlText w:val=""/>
      <w:lvlJc w:val="left"/>
      <w:pPr>
        <w:ind w:left="6540" w:hanging="360"/>
      </w:pPr>
      <w:rPr>
        <w:rFonts w:ascii="Wingdings" w:hAnsi="Wingdings" w:hint="default"/>
      </w:rPr>
    </w:lvl>
  </w:abstractNum>
  <w:num w:numId="1">
    <w:abstractNumId w:val="1"/>
  </w:num>
  <w:num w:numId="2">
    <w:abstractNumId w:val="3"/>
  </w:num>
  <w:num w:numId="3">
    <w:abstractNumId w:val="7"/>
  </w:num>
  <w:num w:numId="4">
    <w:abstractNumId w:val="2"/>
  </w:num>
  <w:num w:numId="5">
    <w:abstractNumId w:val="9"/>
  </w:num>
  <w:num w:numId="6">
    <w:abstractNumId w:val="8"/>
  </w:num>
  <w:num w:numId="7">
    <w:abstractNumId w:val="5"/>
  </w:num>
  <w:num w:numId="8">
    <w:abstractNumId w:val="0"/>
  </w:num>
  <w:num w:numId="9">
    <w:abstractNumId w:val="6"/>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0A99"/>
    <w:rsid w:val="00000A8D"/>
    <w:rsid w:val="00000B8E"/>
    <w:rsid w:val="000019BB"/>
    <w:rsid w:val="00003469"/>
    <w:rsid w:val="00004EFE"/>
    <w:rsid w:val="000072CF"/>
    <w:rsid w:val="000117D2"/>
    <w:rsid w:val="000130C3"/>
    <w:rsid w:val="00014ACF"/>
    <w:rsid w:val="000217D4"/>
    <w:rsid w:val="00021A39"/>
    <w:rsid w:val="00027130"/>
    <w:rsid w:val="0004099C"/>
    <w:rsid w:val="00041446"/>
    <w:rsid w:val="000535CD"/>
    <w:rsid w:val="0007160A"/>
    <w:rsid w:val="00074463"/>
    <w:rsid w:val="0007576E"/>
    <w:rsid w:val="00076BDD"/>
    <w:rsid w:val="00081740"/>
    <w:rsid w:val="000821B0"/>
    <w:rsid w:val="000838AC"/>
    <w:rsid w:val="00090716"/>
    <w:rsid w:val="00090B89"/>
    <w:rsid w:val="00093F81"/>
    <w:rsid w:val="000958F8"/>
    <w:rsid w:val="000A21B0"/>
    <w:rsid w:val="000A35EE"/>
    <w:rsid w:val="000A663C"/>
    <w:rsid w:val="000A700E"/>
    <w:rsid w:val="000A7378"/>
    <w:rsid w:val="000B2584"/>
    <w:rsid w:val="000C09CE"/>
    <w:rsid w:val="000C640F"/>
    <w:rsid w:val="000D0047"/>
    <w:rsid w:val="000D1303"/>
    <w:rsid w:val="000D2EBC"/>
    <w:rsid w:val="000D715E"/>
    <w:rsid w:val="000F44CF"/>
    <w:rsid w:val="00104CEB"/>
    <w:rsid w:val="00112B99"/>
    <w:rsid w:val="00113CF5"/>
    <w:rsid w:val="00113DE4"/>
    <w:rsid w:val="001161F0"/>
    <w:rsid w:val="00121180"/>
    <w:rsid w:val="0012306F"/>
    <w:rsid w:val="001516AB"/>
    <w:rsid w:val="001519FB"/>
    <w:rsid w:val="00152640"/>
    <w:rsid w:val="00157288"/>
    <w:rsid w:val="0016040E"/>
    <w:rsid w:val="00162CEF"/>
    <w:rsid w:val="00163002"/>
    <w:rsid w:val="00174E6E"/>
    <w:rsid w:val="001805CB"/>
    <w:rsid w:val="00182A35"/>
    <w:rsid w:val="00183C1E"/>
    <w:rsid w:val="00185C21"/>
    <w:rsid w:val="001938E9"/>
    <w:rsid w:val="00194373"/>
    <w:rsid w:val="001A20F2"/>
    <w:rsid w:val="001A3545"/>
    <w:rsid w:val="001A5473"/>
    <w:rsid w:val="001A61B3"/>
    <w:rsid w:val="001A7189"/>
    <w:rsid w:val="001B1DB0"/>
    <w:rsid w:val="001B5B29"/>
    <w:rsid w:val="001B7A73"/>
    <w:rsid w:val="001C0B81"/>
    <w:rsid w:val="001C79A8"/>
    <w:rsid w:val="001D3C2E"/>
    <w:rsid w:val="001D660F"/>
    <w:rsid w:val="001E14B0"/>
    <w:rsid w:val="001E7AB9"/>
    <w:rsid w:val="001F3C0E"/>
    <w:rsid w:val="002069BC"/>
    <w:rsid w:val="002073DA"/>
    <w:rsid w:val="0021591A"/>
    <w:rsid w:val="00220B24"/>
    <w:rsid w:val="00221713"/>
    <w:rsid w:val="00235817"/>
    <w:rsid w:val="00250B2A"/>
    <w:rsid w:val="00255576"/>
    <w:rsid w:val="00257814"/>
    <w:rsid w:val="002635A9"/>
    <w:rsid w:val="00263CD8"/>
    <w:rsid w:val="00274C25"/>
    <w:rsid w:val="00275575"/>
    <w:rsid w:val="002850B9"/>
    <w:rsid w:val="00286913"/>
    <w:rsid w:val="002926DD"/>
    <w:rsid w:val="00293B22"/>
    <w:rsid w:val="00294220"/>
    <w:rsid w:val="002A42D6"/>
    <w:rsid w:val="002A4F19"/>
    <w:rsid w:val="002A7D28"/>
    <w:rsid w:val="002B4A1D"/>
    <w:rsid w:val="002B58D3"/>
    <w:rsid w:val="002B6196"/>
    <w:rsid w:val="002B72C0"/>
    <w:rsid w:val="002C24CB"/>
    <w:rsid w:val="002C5659"/>
    <w:rsid w:val="002D7ABD"/>
    <w:rsid w:val="002E0A85"/>
    <w:rsid w:val="002E0CD6"/>
    <w:rsid w:val="002E149D"/>
    <w:rsid w:val="002E35FF"/>
    <w:rsid w:val="002F1CDE"/>
    <w:rsid w:val="002F2963"/>
    <w:rsid w:val="002F450A"/>
    <w:rsid w:val="003026A2"/>
    <w:rsid w:val="00311E11"/>
    <w:rsid w:val="0031353A"/>
    <w:rsid w:val="00330D9F"/>
    <w:rsid w:val="00332DE4"/>
    <w:rsid w:val="00336502"/>
    <w:rsid w:val="0034307B"/>
    <w:rsid w:val="00345DA3"/>
    <w:rsid w:val="00355DEA"/>
    <w:rsid w:val="003676BD"/>
    <w:rsid w:val="00372B52"/>
    <w:rsid w:val="0039028E"/>
    <w:rsid w:val="00393268"/>
    <w:rsid w:val="00396B50"/>
    <w:rsid w:val="003A30FD"/>
    <w:rsid w:val="003B2A90"/>
    <w:rsid w:val="003B4724"/>
    <w:rsid w:val="003B4888"/>
    <w:rsid w:val="003C2A09"/>
    <w:rsid w:val="003C2A41"/>
    <w:rsid w:val="003C2D61"/>
    <w:rsid w:val="003C593C"/>
    <w:rsid w:val="003C752B"/>
    <w:rsid w:val="003D6671"/>
    <w:rsid w:val="003F0ACE"/>
    <w:rsid w:val="003F2976"/>
    <w:rsid w:val="003F34BF"/>
    <w:rsid w:val="00407637"/>
    <w:rsid w:val="0041524D"/>
    <w:rsid w:val="00417199"/>
    <w:rsid w:val="004241DF"/>
    <w:rsid w:val="004323B1"/>
    <w:rsid w:val="0043253D"/>
    <w:rsid w:val="00445C89"/>
    <w:rsid w:val="00450899"/>
    <w:rsid w:val="00452199"/>
    <w:rsid w:val="00453D55"/>
    <w:rsid w:val="004578CD"/>
    <w:rsid w:val="00461E50"/>
    <w:rsid w:val="004660F0"/>
    <w:rsid w:val="00467508"/>
    <w:rsid w:val="00487A7E"/>
    <w:rsid w:val="00490DF5"/>
    <w:rsid w:val="00495DA5"/>
    <w:rsid w:val="004A5FE3"/>
    <w:rsid w:val="004A734B"/>
    <w:rsid w:val="004B15B3"/>
    <w:rsid w:val="004B5EDD"/>
    <w:rsid w:val="004C165C"/>
    <w:rsid w:val="004C250E"/>
    <w:rsid w:val="004C27B6"/>
    <w:rsid w:val="004C785D"/>
    <w:rsid w:val="004D14D1"/>
    <w:rsid w:val="004D35FA"/>
    <w:rsid w:val="004D3A1F"/>
    <w:rsid w:val="004D4F03"/>
    <w:rsid w:val="004E02C0"/>
    <w:rsid w:val="004E07C8"/>
    <w:rsid w:val="004E0F8B"/>
    <w:rsid w:val="004E3E8F"/>
    <w:rsid w:val="004E40C2"/>
    <w:rsid w:val="004F1A7B"/>
    <w:rsid w:val="00504D33"/>
    <w:rsid w:val="005061FB"/>
    <w:rsid w:val="0050697C"/>
    <w:rsid w:val="00510E7C"/>
    <w:rsid w:val="0051243E"/>
    <w:rsid w:val="00514297"/>
    <w:rsid w:val="00516E68"/>
    <w:rsid w:val="00525494"/>
    <w:rsid w:val="005263C4"/>
    <w:rsid w:val="005269D1"/>
    <w:rsid w:val="005279E8"/>
    <w:rsid w:val="00534CCA"/>
    <w:rsid w:val="005403FC"/>
    <w:rsid w:val="00543B53"/>
    <w:rsid w:val="005476F8"/>
    <w:rsid w:val="005717BB"/>
    <w:rsid w:val="00577E22"/>
    <w:rsid w:val="00585ED0"/>
    <w:rsid w:val="005916D2"/>
    <w:rsid w:val="005A195E"/>
    <w:rsid w:val="005A229D"/>
    <w:rsid w:val="005A44C1"/>
    <w:rsid w:val="005B1D03"/>
    <w:rsid w:val="005B3C82"/>
    <w:rsid w:val="005B4176"/>
    <w:rsid w:val="005B6F12"/>
    <w:rsid w:val="005B78F1"/>
    <w:rsid w:val="005C03F3"/>
    <w:rsid w:val="005C0510"/>
    <w:rsid w:val="005C3F52"/>
    <w:rsid w:val="005D3820"/>
    <w:rsid w:val="005D3B86"/>
    <w:rsid w:val="005D522A"/>
    <w:rsid w:val="005E3E06"/>
    <w:rsid w:val="005E6651"/>
    <w:rsid w:val="005F79D0"/>
    <w:rsid w:val="0060098E"/>
    <w:rsid w:val="00603A5B"/>
    <w:rsid w:val="00610738"/>
    <w:rsid w:val="006119D2"/>
    <w:rsid w:val="00611CD4"/>
    <w:rsid w:val="00620019"/>
    <w:rsid w:val="0064258A"/>
    <w:rsid w:val="00647501"/>
    <w:rsid w:val="00647C52"/>
    <w:rsid w:val="00650A99"/>
    <w:rsid w:val="00651656"/>
    <w:rsid w:val="0066510A"/>
    <w:rsid w:val="006657DE"/>
    <w:rsid w:val="00666D64"/>
    <w:rsid w:val="00670BFD"/>
    <w:rsid w:val="00670D69"/>
    <w:rsid w:val="00671108"/>
    <w:rsid w:val="006721B9"/>
    <w:rsid w:val="00672722"/>
    <w:rsid w:val="00682D86"/>
    <w:rsid w:val="0068585F"/>
    <w:rsid w:val="00695308"/>
    <w:rsid w:val="00697DBE"/>
    <w:rsid w:val="006A0986"/>
    <w:rsid w:val="006A0C9D"/>
    <w:rsid w:val="006A2B08"/>
    <w:rsid w:val="006A4FCF"/>
    <w:rsid w:val="006A644E"/>
    <w:rsid w:val="006A7F84"/>
    <w:rsid w:val="006B1954"/>
    <w:rsid w:val="006B2D4A"/>
    <w:rsid w:val="006C646E"/>
    <w:rsid w:val="006D2B4A"/>
    <w:rsid w:val="006E67AA"/>
    <w:rsid w:val="006F60C7"/>
    <w:rsid w:val="006F7409"/>
    <w:rsid w:val="0070120A"/>
    <w:rsid w:val="00702EBF"/>
    <w:rsid w:val="00704A4B"/>
    <w:rsid w:val="00704E4D"/>
    <w:rsid w:val="00711D75"/>
    <w:rsid w:val="00715C57"/>
    <w:rsid w:val="00716D8B"/>
    <w:rsid w:val="0072625D"/>
    <w:rsid w:val="007332AA"/>
    <w:rsid w:val="007437D3"/>
    <w:rsid w:val="007477E5"/>
    <w:rsid w:val="0075442C"/>
    <w:rsid w:val="00760EB4"/>
    <w:rsid w:val="00776F62"/>
    <w:rsid w:val="0077701F"/>
    <w:rsid w:val="00785952"/>
    <w:rsid w:val="007865C6"/>
    <w:rsid w:val="0078696E"/>
    <w:rsid w:val="007912E3"/>
    <w:rsid w:val="00794564"/>
    <w:rsid w:val="00797898"/>
    <w:rsid w:val="007A1260"/>
    <w:rsid w:val="007B70F7"/>
    <w:rsid w:val="007C31D2"/>
    <w:rsid w:val="007D0E2B"/>
    <w:rsid w:val="007D1DDA"/>
    <w:rsid w:val="007D58CA"/>
    <w:rsid w:val="007D70DE"/>
    <w:rsid w:val="007F2EE4"/>
    <w:rsid w:val="007F5F77"/>
    <w:rsid w:val="00802A37"/>
    <w:rsid w:val="00803A7B"/>
    <w:rsid w:val="008107C3"/>
    <w:rsid w:val="008138A1"/>
    <w:rsid w:val="00815D8C"/>
    <w:rsid w:val="00821F08"/>
    <w:rsid w:val="00823FDF"/>
    <w:rsid w:val="00825477"/>
    <w:rsid w:val="00833641"/>
    <w:rsid w:val="008378AE"/>
    <w:rsid w:val="00851407"/>
    <w:rsid w:val="00852E5E"/>
    <w:rsid w:val="00860564"/>
    <w:rsid w:val="008642AA"/>
    <w:rsid w:val="00864D05"/>
    <w:rsid w:val="0087550C"/>
    <w:rsid w:val="008764E7"/>
    <w:rsid w:val="008771E2"/>
    <w:rsid w:val="008825A8"/>
    <w:rsid w:val="00882C42"/>
    <w:rsid w:val="00885BB4"/>
    <w:rsid w:val="00886FEF"/>
    <w:rsid w:val="00890A2C"/>
    <w:rsid w:val="0089470E"/>
    <w:rsid w:val="008A74A1"/>
    <w:rsid w:val="008B5141"/>
    <w:rsid w:val="008C04B8"/>
    <w:rsid w:val="008C1D2E"/>
    <w:rsid w:val="008C2E42"/>
    <w:rsid w:val="008C6D0A"/>
    <w:rsid w:val="008E126F"/>
    <w:rsid w:val="008F3A72"/>
    <w:rsid w:val="00903AE4"/>
    <w:rsid w:val="009108B1"/>
    <w:rsid w:val="0091158B"/>
    <w:rsid w:val="0091337D"/>
    <w:rsid w:val="009150E9"/>
    <w:rsid w:val="00925480"/>
    <w:rsid w:val="00927A95"/>
    <w:rsid w:val="00934CE3"/>
    <w:rsid w:val="0093672C"/>
    <w:rsid w:val="00945175"/>
    <w:rsid w:val="00950209"/>
    <w:rsid w:val="0095021B"/>
    <w:rsid w:val="00950601"/>
    <w:rsid w:val="00950BBC"/>
    <w:rsid w:val="0096112B"/>
    <w:rsid w:val="00963ECC"/>
    <w:rsid w:val="00964213"/>
    <w:rsid w:val="009645FB"/>
    <w:rsid w:val="00966EAD"/>
    <w:rsid w:val="009714D1"/>
    <w:rsid w:val="00975B51"/>
    <w:rsid w:val="009819A5"/>
    <w:rsid w:val="00985D37"/>
    <w:rsid w:val="00990B51"/>
    <w:rsid w:val="009A0306"/>
    <w:rsid w:val="009C00BC"/>
    <w:rsid w:val="009C651F"/>
    <w:rsid w:val="009C7179"/>
    <w:rsid w:val="009D2F7D"/>
    <w:rsid w:val="009D77B3"/>
    <w:rsid w:val="009E1898"/>
    <w:rsid w:val="009E1D85"/>
    <w:rsid w:val="009E6B7E"/>
    <w:rsid w:val="009F1361"/>
    <w:rsid w:val="009F3906"/>
    <w:rsid w:val="009F3EB0"/>
    <w:rsid w:val="009F4E81"/>
    <w:rsid w:val="009F69C9"/>
    <w:rsid w:val="00A00342"/>
    <w:rsid w:val="00A02A1D"/>
    <w:rsid w:val="00A160FC"/>
    <w:rsid w:val="00A239C9"/>
    <w:rsid w:val="00A26EBF"/>
    <w:rsid w:val="00A32B75"/>
    <w:rsid w:val="00A34FD5"/>
    <w:rsid w:val="00A3768F"/>
    <w:rsid w:val="00A4313F"/>
    <w:rsid w:val="00A4661C"/>
    <w:rsid w:val="00A61A49"/>
    <w:rsid w:val="00A63883"/>
    <w:rsid w:val="00A73DE7"/>
    <w:rsid w:val="00A82806"/>
    <w:rsid w:val="00A8655D"/>
    <w:rsid w:val="00AA20A8"/>
    <w:rsid w:val="00AA75DD"/>
    <w:rsid w:val="00AA7C31"/>
    <w:rsid w:val="00AB1727"/>
    <w:rsid w:val="00AB3832"/>
    <w:rsid w:val="00AB3976"/>
    <w:rsid w:val="00AC4DE2"/>
    <w:rsid w:val="00AC5CBF"/>
    <w:rsid w:val="00AC6DD0"/>
    <w:rsid w:val="00AD2A23"/>
    <w:rsid w:val="00AD3A13"/>
    <w:rsid w:val="00AD4994"/>
    <w:rsid w:val="00AD4BD4"/>
    <w:rsid w:val="00AD67A2"/>
    <w:rsid w:val="00AE140C"/>
    <w:rsid w:val="00AE265A"/>
    <w:rsid w:val="00AE26F7"/>
    <w:rsid w:val="00AE3D82"/>
    <w:rsid w:val="00AE45E6"/>
    <w:rsid w:val="00AF49B0"/>
    <w:rsid w:val="00B2404C"/>
    <w:rsid w:val="00B266C9"/>
    <w:rsid w:val="00B343E0"/>
    <w:rsid w:val="00B56E4D"/>
    <w:rsid w:val="00B6219B"/>
    <w:rsid w:val="00B64675"/>
    <w:rsid w:val="00B67042"/>
    <w:rsid w:val="00B7547A"/>
    <w:rsid w:val="00B842ED"/>
    <w:rsid w:val="00B84BA4"/>
    <w:rsid w:val="00B85B91"/>
    <w:rsid w:val="00B9277D"/>
    <w:rsid w:val="00B9761F"/>
    <w:rsid w:val="00BA5FB5"/>
    <w:rsid w:val="00BB19F9"/>
    <w:rsid w:val="00BB32A2"/>
    <w:rsid w:val="00BB3ECB"/>
    <w:rsid w:val="00BC07C2"/>
    <w:rsid w:val="00BC0831"/>
    <w:rsid w:val="00BC5C7D"/>
    <w:rsid w:val="00BD0078"/>
    <w:rsid w:val="00BD2E16"/>
    <w:rsid w:val="00BD5D70"/>
    <w:rsid w:val="00BD6132"/>
    <w:rsid w:val="00BE162A"/>
    <w:rsid w:val="00BF5484"/>
    <w:rsid w:val="00BF5B70"/>
    <w:rsid w:val="00BF7D08"/>
    <w:rsid w:val="00C03D50"/>
    <w:rsid w:val="00C1617D"/>
    <w:rsid w:val="00C23182"/>
    <w:rsid w:val="00C24DAB"/>
    <w:rsid w:val="00C25A98"/>
    <w:rsid w:val="00C276A2"/>
    <w:rsid w:val="00C36BE7"/>
    <w:rsid w:val="00C41FF1"/>
    <w:rsid w:val="00C47F06"/>
    <w:rsid w:val="00C50D9F"/>
    <w:rsid w:val="00C5140F"/>
    <w:rsid w:val="00C75A43"/>
    <w:rsid w:val="00C82913"/>
    <w:rsid w:val="00C83DA8"/>
    <w:rsid w:val="00C851B6"/>
    <w:rsid w:val="00C90C00"/>
    <w:rsid w:val="00C90DFD"/>
    <w:rsid w:val="00C91360"/>
    <w:rsid w:val="00C97FA6"/>
    <w:rsid w:val="00CA7B41"/>
    <w:rsid w:val="00CB003D"/>
    <w:rsid w:val="00CB344A"/>
    <w:rsid w:val="00CB4DF8"/>
    <w:rsid w:val="00CC0F65"/>
    <w:rsid w:val="00CE021C"/>
    <w:rsid w:val="00CE5431"/>
    <w:rsid w:val="00CE6524"/>
    <w:rsid w:val="00CF6774"/>
    <w:rsid w:val="00CF6FFB"/>
    <w:rsid w:val="00D00E1E"/>
    <w:rsid w:val="00D017CC"/>
    <w:rsid w:val="00D03499"/>
    <w:rsid w:val="00D206AB"/>
    <w:rsid w:val="00D2350A"/>
    <w:rsid w:val="00D23F9F"/>
    <w:rsid w:val="00D277FA"/>
    <w:rsid w:val="00D30E71"/>
    <w:rsid w:val="00D376F6"/>
    <w:rsid w:val="00D42439"/>
    <w:rsid w:val="00D42528"/>
    <w:rsid w:val="00D425A3"/>
    <w:rsid w:val="00D47221"/>
    <w:rsid w:val="00D57510"/>
    <w:rsid w:val="00D61496"/>
    <w:rsid w:val="00D718F8"/>
    <w:rsid w:val="00D73986"/>
    <w:rsid w:val="00D76645"/>
    <w:rsid w:val="00D7772B"/>
    <w:rsid w:val="00D81FD7"/>
    <w:rsid w:val="00D9126F"/>
    <w:rsid w:val="00D91D52"/>
    <w:rsid w:val="00DA7321"/>
    <w:rsid w:val="00DA777E"/>
    <w:rsid w:val="00DB024F"/>
    <w:rsid w:val="00DB1424"/>
    <w:rsid w:val="00DB24E7"/>
    <w:rsid w:val="00DB56D2"/>
    <w:rsid w:val="00DE03C3"/>
    <w:rsid w:val="00DE3D85"/>
    <w:rsid w:val="00DE6180"/>
    <w:rsid w:val="00DE7B4B"/>
    <w:rsid w:val="00DF0897"/>
    <w:rsid w:val="00E04D0C"/>
    <w:rsid w:val="00E126C1"/>
    <w:rsid w:val="00E21708"/>
    <w:rsid w:val="00E35A26"/>
    <w:rsid w:val="00E36993"/>
    <w:rsid w:val="00E41E1C"/>
    <w:rsid w:val="00E44E11"/>
    <w:rsid w:val="00E66758"/>
    <w:rsid w:val="00E674EA"/>
    <w:rsid w:val="00E67D6E"/>
    <w:rsid w:val="00E80CF1"/>
    <w:rsid w:val="00E91F82"/>
    <w:rsid w:val="00E96165"/>
    <w:rsid w:val="00E962C6"/>
    <w:rsid w:val="00E96642"/>
    <w:rsid w:val="00EA18D2"/>
    <w:rsid w:val="00EB14A4"/>
    <w:rsid w:val="00EB7657"/>
    <w:rsid w:val="00EC2160"/>
    <w:rsid w:val="00EC5B77"/>
    <w:rsid w:val="00EC6338"/>
    <w:rsid w:val="00ED0591"/>
    <w:rsid w:val="00EE148A"/>
    <w:rsid w:val="00EE50CF"/>
    <w:rsid w:val="00EF39B1"/>
    <w:rsid w:val="00F01189"/>
    <w:rsid w:val="00F103E2"/>
    <w:rsid w:val="00F1112D"/>
    <w:rsid w:val="00F15285"/>
    <w:rsid w:val="00F2119D"/>
    <w:rsid w:val="00F2523B"/>
    <w:rsid w:val="00F3746B"/>
    <w:rsid w:val="00F3776E"/>
    <w:rsid w:val="00F437CA"/>
    <w:rsid w:val="00F503A2"/>
    <w:rsid w:val="00F5119A"/>
    <w:rsid w:val="00F5158B"/>
    <w:rsid w:val="00F56582"/>
    <w:rsid w:val="00F57E1D"/>
    <w:rsid w:val="00F64422"/>
    <w:rsid w:val="00F720C3"/>
    <w:rsid w:val="00F818A8"/>
    <w:rsid w:val="00F823D2"/>
    <w:rsid w:val="00F87D79"/>
    <w:rsid w:val="00F90819"/>
    <w:rsid w:val="00F97DA5"/>
    <w:rsid w:val="00FA0DA2"/>
    <w:rsid w:val="00FA1371"/>
    <w:rsid w:val="00FA5FE7"/>
    <w:rsid w:val="00FA7120"/>
    <w:rsid w:val="00FC0A02"/>
    <w:rsid w:val="00FC0FFA"/>
    <w:rsid w:val="00FC26D6"/>
    <w:rsid w:val="00FD700F"/>
    <w:rsid w:val="00FE0477"/>
    <w:rsid w:val="00FE197E"/>
    <w:rsid w:val="00FE22E1"/>
    <w:rsid w:val="00FE7642"/>
    <w:rsid w:val="00FF06FC"/>
    <w:rsid w:val="00FF0953"/>
    <w:rsid w:val="00FF0DF4"/>
    <w:rsid w:val="00FF1D1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126F"/>
    <w:pPr>
      <w:overflowPunct w:val="0"/>
      <w:autoSpaceDE w:val="0"/>
      <w:autoSpaceDN w:val="0"/>
      <w:adjustRightInd w:val="0"/>
      <w:spacing w:after="0" w:line="240" w:lineRule="auto"/>
      <w:textAlignment w:val="baseline"/>
    </w:pPr>
    <w:rPr>
      <w:rFonts w:ascii="Arial" w:eastAsia="Times New Roman" w:hAnsi="Arial" w:cs="Times New Roman"/>
      <w:sz w:val="24"/>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50A99"/>
    <w:rPr>
      <w:rFonts w:ascii="Tahoma" w:hAnsi="Tahoma" w:cs="Tahoma"/>
      <w:sz w:val="16"/>
      <w:szCs w:val="16"/>
    </w:rPr>
  </w:style>
  <w:style w:type="character" w:customStyle="1" w:styleId="TextodegloboCar">
    <w:name w:val="Texto de globo Car"/>
    <w:basedOn w:val="Fuentedeprrafopredeter"/>
    <w:link w:val="Textodeglobo"/>
    <w:uiPriority w:val="99"/>
    <w:semiHidden/>
    <w:rsid w:val="00650A99"/>
    <w:rPr>
      <w:rFonts w:ascii="Tahoma" w:hAnsi="Tahoma" w:cs="Tahoma"/>
      <w:sz w:val="16"/>
      <w:szCs w:val="16"/>
    </w:rPr>
  </w:style>
  <w:style w:type="paragraph" w:styleId="Encabezado">
    <w:name w:val="header"/>
    <w:basedOn w:val="Normal"/>
    <w:link w:val="EncabezadoCar"/>
    <w:uiPriority w:val="99"/>
    <w:unhideWhenUsed/>
    <w:rsid w:val="00650A99"/>
    <w:pPr>
      <w:tabs>
        <w:tab w:val="center" w:pos="4419"/>
        <w:tab w:val="right" w:pos="8838"/>
      </w:tabs>
    </w:pPr>
  </w:style>
  <w:style w:type="character" w:customStyle="1" w:styleId="EncabezadoCar">
    <w:name w:val="Encabezado Car"/>
    <w:basedOn w:val="Fuentedeprrafopredeter"/>
    <w:link w:val="Encabezado"/>
    <w:uiPriority w:val="99"/>
    <w:rsid w:val="00650A99"/>
  </w:style>
  <w:style w:type="paragraph" w:styleId="Piedepgina">
    <w:name w:val="footer"/>
    <w:basedOn w:val="Normal"/>
    <w:link w:val="PiedepginaCar"/>
    <w:uiPriority w:val="99"/>
    <w:unhideWhenUsed/>
    <w:rsid w:val="00650A99"/>
    <w:pPr>
      <w:tabs>
        <w:tab w:val="center" w:pos="4419"/>
        <w:tab w:val="right" w:pos="8838"/>
      </w:tabs>
    </w:pPr>
  </w:style>
  <w:style w:type="character" w:customStyle="1" w:styleId="PiedepginaCar">
    <w:name w:val="Pie de página Car"/>
    <w:basedOn w:val="Fuentedeprrafopredeter"/>
    <w:link w:val="Piedepgina"/>
    <w:uiPriority w:val="99"/>
    <w:rsid w:val="00650A99"/>
  </w:style>
  <w:style w:type="character" w:styleId="Hipervnculo">
    <w:name w:val="Hyperlink"/>
    <w:basedOn w:val="Fuentedeprrafopredeter"/>
    <w:uiPriority w:val="99"/>
    <w:unhideWhenUsed/>
    <w:rsid w:val="00650A99"/>
    <w:rPr>
      <w:color w:val="0000FF" w:themeColor="hyperlink"/>
      <w:u w:val="single"/>
    </w:rPr>
  </w:style>
  <w:style w:type="paragraph" w:styleId="NormalWeb">
    <w:name w:val="Normal (Web)"/>
    <w:basedOn w:val="Normal"/>
    <w:uiPriority w:val="99"/>
    <w:semiHidden/>
    <w:unhideWhenUsed/>
    <w:rsid w:val="00670D69"/>
    <w:pPr>
      <w:spacing w:before="100" w:beforeAutospacing="1" w:after="100" w:afterAutospacing="1"/>
    </w:pPr>
    <w:rPr>
      <w:rFonts w:ascii="Times New Roman" w:hAnsi="Times New Roman"/>
      <w:szCs w:val="24"/>
      <w:lang w:eastAsia="es-CO"/>
    </w:rPr>
  </w:style>
  <w:style w:type="table" w:styleId="Tablaconcuadrcula">
    <w:name w:val="Table Grid"/>
    <w:basedOn w:val="Tablanormal"/>
    <w:uiPriority w:val="59"/>
    <w:rsid w:val="00AE45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BF5B70"/>
    <w:pPr>
      <w:spacing w:after="0" w:line="240" w:lineRule="auto"/>
    </w:pPr>
  </w:style>
  <w:style w:type="paragraph" w:styleId="Prrafodelista">
    <w:name w:val="List Paragraph"/>
    <w:basedOn w:val="Normal"/>
    <w:uiPriority w:val="34"/>
    <w:qFormat/>
    <w:rsid w:val="00945175"/>
    <w:pPr>
      <w:ind w:left="720"/>
      <w:contextualSpacing/>
    </w:pPr>
  </w:style>
  <w:style w:type="table" w:customStyle="1" w:styleId="Tablaconcuadrcula1">
    <w:name w:val="Tabla con cuadrícula1"/>
    <w:basedOn w:val="Tablanormal"/>
    <w:next w:val="Tablaconcuadrcula"/>
    <w:uiPriority w:val="59"/>
    <w:rsid w:val="00183C1E"/>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126F"/>
    <w:pPr>
      <w:overflowPunct w:val="0"/>
      <w:autoSpaceDE w:val="0"/>
      <w:autoSpaceDN w:val="0"/>
      <w:adjustRightInd w:val="0"/>
      <w:spacing w:after="0" w:line="240" w:lineRule="auto"/>
      <w:textAlignment w:val="baseline"/>
    </w:pPr>
    <w:rPr>
      <w:rFonts w:ascii="Arial" w:eastAsia="Times New Roman" w:hAnsi="Arial" w:cs="Times New Roman"/>
      <w:sz w:val="24"/>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50A99"/>
    <w:rPr>
      <w:rFonts w:ascii="Tahoma" w:hAnsi="Tahoma" w:cs="Tahoma"/>
      <w:sz w:val="16"/>
      <w:szCs w:val="16"/>
    </w:rPr>
  </w:style>
  <w:style w:type="character" w:customStyle="1" w:styleId="TextodegloboCar">
    <w:name w:val="Texto de globo Car"/>
    <w:basedOn w:val="Fuentedeprrafopredeter"/>
    <w:link w:val="Textodeglobo"/>
    <w:uiPriority w:val="99"/>
    <w:semiHidden/>
    <w:rsid w:val="00650A99"/>
    <w:rPr>
      <w:rFonts w:ascii="Tahoma" w:hAnsi="Tahoma" w:cs="Tahoma"/>
      <w:sz w:val="16"/>
      <w:szCs w:val="16"/>
    </w:rPr>
  </w:style>
  <w:style w:type="paragraph" w:styleId="Encabezado">
    <w:name w:val="header"/>
    <w:basedOn w:val="Normal"/>
    <w:link w:val="EncabezadoCar"/>
    <w:uiPriority w:val="99"/>
    <w:unhideWhenUsed/>
    <w:rsid w:val="00650A99"/>
    <w:pPr>
      <w:tabs>
        <w:tab w:val="center" w:pos="4419"/>
        <w:tab w:val="right" w:pos="8838"/>
      </w:tabs>
    </w:pPr>
  </w:style>
  <w:style w:type="character" w:customStyle="1" w:styleId="EncabezadoCar">
    <w:name w:val="Encabezado Car"/>
    <w:basedOn w:val="Fuentedeprrafopredeter"/>
    <w:link w:val="Encabezado"/>
    <w:uiPriority w:val="99"/>
    <w:rsid w:val="00650A99"/>
  </w:style>
  <w:style w:type="paragraph" w:styleId="Piedepgina">
    <w:name w:val="footer"/>
    <w:basedOn w:val="Normal"/>
    <w:link w:val="PiedepginaCar"/>
    <w:uiPriority w:val="99"/>
    <w:unhideWhenUsed/>
    <w:rsid w:val="00650A99"/>
    <w:pPr>
      <w:tabs>
        <w:tab w:val="center" w:pos="4419"/>
        <w:tab w:val="right" w:pos="8838"/>
      </w:tabs>
    </w:pPr>
  </w:style>
  <w:style w:type="character" w:customStyle="1" w:styleId="PiedepginaCar">
    <w:name w:val="Pie de página Car"/>
    <w:basedOn w:val="Fuentedeprrafopredeter"/>
    <w:link w:val="Piedepgina"/>
    <w:uiPriority w:val="99"/>
    <w:rsid w:val="00650A99"/>
  </w:style>
  <w:style w:type="character" w:styleId="Hipervnculo">
    <w:name w:val="Hyperlink"/>
    <w:basedOn w:val="Fuentedeprrafopredeter"/>
    <w:uiPriority w:val="99"/>
    <w:unhideWhenUsed/>
    <w:rsid w:val="00650A99"/>
    <w:rPr>
      <w:color w:val="0000FF" w:themeColor="hyperlink"/>
      <w:u w:val="single"/>
    </w:rPr>
  </w:style>
  <w:style w:type="paragraph" w:styleId="NormalWeb">
    <w:name w:val="Normal (Web)"/>
    <w:basedOn w:val="Normal"/>
    <w:uiPriority w:val="99"/>
    <w:semiHidden/>
    <w:unhideWhenUsed/>
    <w:rsid w:val="00670D69"/>
    <w:pPr>
      <w:spacing w:before="100" w:beforeAutospacing="1" w:after="100" w:afterAutospacing="1"/>
    </w:pPr>
    <w:rPr>
      <w:rFonts w:ascii="Times New Roman" w:hAnsi="Times New Roman"/>
      <w:szCs w:val="24"/>
      <w:lang w:eastAsia="es-CO"/>
    </w:rPr>
  </w:style>
  <w:style w:type="table" w:styleId="Tablaconcuadrcula">
    <w:name w:val="Table Grid"/>
    <w:basedOn w:val="Tablanormal"/>
    <w:uiPriority w:val="59"/>
    <w:rsid w:val="00AE45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BF5B70"/>
    <w:pPr>
      <w:spacing w:after="0" w:line="240" w:lineRule="auto"/>
    </w:pPr>
  </w:style>
  <w:style w:type="paragraph" w:styleId="Prrafodelista">
    <w:name w:val="List Paragraph"/>
    <w:basedOn w:val="Normal"/>
    <w:uiPriority w:val="34"/>
    <w:qFormat/>
    <w:rsid w:val="00945175"/>
    <w:pPr>
      <w:ind w:left="720"/>
      <w:contextualSpacing/>
    </w:pPr>
  </w:style>
  <w:style w:type="table" w:customStyle="1" w:styleId="Tablaconcuadrcula1">
    <w:name w:val="Tabla con cuadrícula1"/>
    <w:basedOn w:val="Tablanormal"/>
    <w:next w:val="Tablaconcuadrcula"/>
    <w:uiPriority w:val="59"/>
    <w:rsid w:val="00183C1E"/>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05337">
      <w:bodyDiv w:val="1"/>
      <w:marLeft w:val="0"/>
      <w:marRight w:val="0"/>
      <w:marTop w:val="0"/>
      <w:marBottom w:val="0"/>
      <w:divBdr>
        <w:top w:val="none" w:sz="0" w:space="0" w:color="auto"/>
        <w:left w:val="none" w:sz="0" w:space="0" w:color="auto"/>
        <w:bottom w:val="none" w:sz="0" w:space="0" w:color="auto"/>
        <w:right w:val="none" w:sz="0" w:space="0" w:color="auto"/>
      </w:divBdr>
    </w:div>
    <w:div w:id="182482781">
      <w:bodyDiv w:val="1"/>
      <w:marLeft w:val="0"/>
      <w:marRight w:val="0"/>
      <w:marTop w:val="0"/>
      <w:marBottom w:val="0"/>
      <w:divBdr>
        <w:top w:val="none" w:sz="0" w:space="0" w:color="auto"/>
        <w:left w:val="none" w:sz="0" w:space="0" w:color="auto"/>
        <w:bottom w:val="none" w:sz="0" w:space="0" w:color="auto"/>
        <w:right w:val="none" w:sz="0" w:space="0" w:color="auto"/>
      </w:divBdr>
    </w:div>
    <w:div w:id="237400714">
      <w:bodyDiv w:val="1"/>
      <w:marLeft w:val="0"/>
      <w:marRight w:val="0"/>
      <w:marTop w:val="0"/>
      <w:marBottom w:val="0"/>
      <w:divBdr>
        <w:top w:val="none" w:sz="0" w:space="0" w:color="auto"/>
        <w:left w:val="none" w:sz="0" w:space="0" w:color="auto"/>
        <w:bottom w:val="none" w:sz="0" w:space="0" w:color="auto"/>
        <w:right w:val="none" w:sz="0" w:space="0" w:color="auto"/>
      </w:divBdr>
    </w:div>
    <w:div w:id="996104533">
      <w:bodyDiv w:val="1"/>
      <w:marLeft w:val="0"/>
      <w:marRight w:val="0"/>
      <w:marTop w:val="0"/>
      <w:marBottom w:val="0"/>
      <w:divBdr>
        <w:top w:val="none" w:sz="0" w:space="0" w:color="auto"/>
        <w:left w:val="none" w:sz="0" w:space="0" w:color="auto"/>
        <w:bottom w:val="none" w:sz="0" w:space="0" w:color="auto"/>
        <w:right w:val="none" w:sz="0" w:space="0" w:color="auto"/>
      </w:divBdr>
    </w:div>
    <w:div w:id="16507499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www.contraloriatolima.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3BBCBA-8323-4DB1-A279-6BAAAB9D5B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1</Pages>
  <Words>1174</Words>
  <Characters>6459</Characters>
  <Application>Microsoft Office Word</Application>
  <DocSecurity>0</DocSecurity>
  <Lines>53</Lines>
  <Paragraphs>15</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7618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 de Windows</dc:creator>
  <cp:lastModifiedBy>contraloria</cp:lastModifiedBy>
  <cp:revision>11</cp:revision>
  <cp:lastPrinted>2016-10-31T13:46:00Z</cp:lastPrinted>
  <dcterms:created xsi:type="dcterms:W3CDTF">2016-10-31T19:32:00Z</dcterms:created>
  <dcterms:modified xsi:type="dcterms:W3CDTF">2016-12-23T16:17:00Z</dcterms:modified>
</cp:coreProperties>
</file>