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70506" w14:textId="77777777" w:rsidR="00463178" w:rsidRDefault="00463178" w:rsidP="00026DD3">
      <w:pPr>
        <w:keepNext/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bookmarkStart w:id="0" w:name="_GoBack"/>
      <w:bookmarkEnd w:id="0"/>
    </w:p>
    <w:p w14:paraId="2FE87903" w14:textId="7A1C50F5" w:rsidR="00BC6348" w:rsidRPr="00807027" w:rsidRDefault="00BC6348" w:rsidP="00026DD3">
      <w:pPr>
        <w:keepNext/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AUTO DE CIERRE</w:t>
      </w:r>
      <w:r w:rsidR="00455121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DE LA INDAGACIÓN PRELIMINAR</w:t>
      </w:r>
    </w:p>
    <w:p w14:paraId="04773904" w14:textId="77777777" w:rsidR="00BC6348" w:rsidRPr="00807027" w:rsidRDefault="00BC6348" w:rsidP="00026DD3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CD30885" w14:textId="56A70AA9" w:rsidR="00BC6348" w:rsidRDefault="00BC6348" w:rsidP="00026DD3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la ciudad de ________ a los ________ (número) días del mes de ________, de________ (año), </w:t>
      </w:r>
      <w:r w:rsidR="0046317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los suscritos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funcionarios de 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conocimiento</w:t>
      </w:r>
      <w:r w:rsidR="00026DD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sustanciador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,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en ejercicio de la competencia establecida en la Constitución Política de Colombia, artículos 268-5 y 27</w:t>
      </w:r>
      <w:r w:rsidR="005F42FB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2, ordenanza Nº 008 de abril 5 de 2001,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en la Resolución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interna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257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2001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. 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Procede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 proferir el presente Auto de Cierre de la Indagación 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Preliminar,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adelantada en </w:t>
      </w:r>
      <w:r w:rsidR="0046317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la…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. (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Entidad)</w:t>
      </w:r>
      <w:r w:rsidR="00287D2D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y bajo el radicado No. ____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, con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fundamento en el artículo 39 de la Ley 610 de 2000 y previos los siguientes:</w:t>
      </w:r>
    </w:p>
    <w:p w14:paraId="2CC0526E" w14:textId="77777777" w:rsidR="00945DAE" w:rsidRPr="00807027" w:rsidRDefault="00945DAE" w:rsidP="00026DD3">
      <w:pPr>
        <w:widowControl/>
        <w:shd w:val="clear" w:color="auto" w:fill="FFFFFF"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6FACDC0" w14:textId="51137DF2" w:rsidR="002316B8" w:rsidRPr="00945DAE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945DAE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FUNDAMENTOS DE HECHO</w:t>
      </w:r>
    </w:p>
    <w:p w14:paraId="73D38900" w14:textId="77777777" w:rsidR="00945DAE" w:rsidRPr="00945DAE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/>
          <w:color w:val="000000"/>
          <w:sz w:val="22"/>
          <w:szCs w:val="22"/>
          <w:lang w:val="es-CO"/>
        </w:rPr>
      </w:pPr>
    </w:p>
    <w:p w14:paraId="04872E9A" w14:textId="77777777" w:rsidR="00945DAE" w:rsidRPr="00945DAE" w:rsidRDefault="00945DAE" w:rsidP="00945DAE">
      <w:pPr>
        <w:widowControl/>
        <w:tabs>
          <w:tab w:val="left" w:pos="0"/>
        </w:tabs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945DAE">
        <w:rPr>
          <w:rFonts w:ascii="Tahoma" w:hAnsi="Tahoma" w:cs="Tahoma"/>
          <w:i/>
          <w:color w:val="000000"/>
          <w:sz w:val="22"/>
          <w:szCs w:val="22"/>
          <w:lang w:val="es-CO"/>
        </w:rPr>
        <w:t>(Descripción de los hechos irregulares)</w:t>
      </w:r>
    </w:p>
    <w:p w14:paraId="2698E20A" w14:textId="77777777" w:rsidR="00945DAE" w:rsidRPr="00807027" w:rsidRDefault="00945DAE" w:rsidP="00945DAE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22452CD" w14:textId="77777777" w:rsidR="00945DAE" w:rsidRPr="00807027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ACERVO PROBATORIO: </w:t>
      </w:r>
    </w:p>
    <w:p w14:paraId="56897304" w14:textId="77777777" w:rsidR="00945DAE" w:rsidRPr="00807027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720E338C" w14:textId="77777777" w:rsidR="00945DAE" w:rsidRPr="00807027" w:rsidRDefault="00945DAE" w:rsidP="00945DAE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Descripción de cada uno de los medios probatorios incorporados al expediente de la indagación preliminar. </w:t>
      </w:r>
    </w:p>
    <w:p w14:paraId="1A4FABED" w14:textId="77777777" w:rsidR="00945DAE" w:rsidRPr="00807027" w:rsidRDefault="00945DAE" w:rsidP="00945DAE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FF0000"/>
          <w:sz w:val="22"/>
          <w:szCs w:val="22"/>
          <w:lang w:val="es-CO"/>
        </w:rPr>
      </w:pPr>
    </w:p>
    <w:p w14:paraId="0EB42D46" w14:textId="77777777" w:rsidR="00BC6348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CONSIDERANDOS: </w:t>
      </w:r>
    </w:p>
    <w:p w14:paraId="313986E9" w14:textId="77777777" w:rsidR="00026DD3" w:rsidRPr="00807027" w:rsidRDefault="00026DD3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7E99068" w14:textId="77777777" w:rsidR="00BC6348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4655A505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Descripción del antecedente o de las circunstancias que originaron la Apertura de la Diligencia de Indagación Fiscal Preliminar, con fundamento en la queja o denuncia _________ o en virtud de la </w:t>
      </w:r>
      <w:r w:rsidR="00E0004A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auditoria</w:t>
      </w: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efectuada en ________________o demás órganos de control.</w:t>
      </w:r>
    </w:p>
    <w:p w14:paraId="06C41084" w14:textId="43581E8D" w:rsidR="00BC6348" w:rsidRPr="00807027" w:rsidRDefault="00BC6348" w:rsidP="00945DAE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49B877F1" w14:textId="77777777" w:rsidR="00BC6348" w:rsidRPr="00807027" w:rsidRDefault="00BC6348" w:rsidP="00026DD3">
      <w:pPr>
        <w:widowControl/>
        <w:rPr>
          <w:rFonts w:ascii="Tahoma" w:hAnsi="Tahoma" w:cs="Tahoma"/>
          <w:sz w:val="22"/>
          <w:szCs w:val="22"/>
        </w:rPr>
      </w:pPr>
    </w:p>
    <w:p w14:paraId="44DE2ABF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En mérito de lo anteriormente expuesto, </w:t>
      </w:r>
    </w:p>
    <w:p w14:paraId="1A1AC532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100BC08C" w14:textId="77777777" w:rsidR="002F7157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RESUELVE:</w:t>
      </w:r>
    </w:p>
    <w:p w14:paraId="2DE662DF" w14:textId="77777777" w:rsidR="00BC6348" w:rsidRPr="00807027" w:rsidRDefault="00BC6348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7A6BDEB3" w14:textId="54501F88" w:rsidR="00BC6348" w:rsidRPr="00BA304C" w:rsidRDefault="005F42FB" w:rsidP="00EC4522">
      <w:pPr>
        <w:widowControl/>
        <w:tabs>
          <w:tab w:val="left" w:pos="0"/>
        </w:tabs>
        <w:spacing w:before="120" w:after="120"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PRIMERO: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Cerrar la indagación preliminar abierta mediante Auto</w:t>
      </w:r>
      <w:r w:rsidR="00195213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No.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de fecha</w:t>
      </w:r>
      <w:r w:rsidR="00EC4522" w:rsidRPr="00807027">
        <w:rPr>
          <w:rFonts w:ascii="Tahoma" w:hAnsi="Tahoma" w:cs="Tahoma"/>
          <w:iCs/>
          <w:color w:val="000000"/>
          <w:sz w:val="22"/>
          <w:szCs w:val="22"/>
          <w:u w:val="single"/>
          <w:lang w:val="es-CO"/>
        </w:rPr>
        <w:t xml:space="preserve">  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u w:val="single"/>
          <w:lang w:val="es-CO"/>
        </w:rPr>
        <w:t>        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adelantada </w:t>
      </w:r>
      <w:r w:rsidR="00945DAE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ante </w:t>
      </w:r>
      <w:r w:rsidR="0041283F">
        <w:rPr>
          <w:rFonts w:ascii="Tahoma" w:hAnsi="Tahoma" w:cs="Tahoma"/>
          <w:iCs/>
          <w:color w:val="000000"/>
          <w:sz w:val="22"/>
          <w:szCs w:val="22"/>
          <w:lang w:val="es-CO"/>
        </w:rPr>
        <w:t>(</w:t>
      </w:r>
      <w:r w:rsidR="0041283F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señalar la entidad afectada) 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representada legalmente por </w:t>
      </w:r>
      <w:r w:rsidR="00EC4522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_______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>identificación del representante legal actual de la entidad afectada).</w:t>
      </w:r>
    </w:p>
    <w:p w14:paraId="69FB3808" w14:textId="4BB90F76" w:rsidR="00BA304C" w:rsidRPr="00BA304C" w:rsidRDefault="005F42FB" w:rsidP="00BA304C">
      <w:pPr>
        <w:widowControl/>
        <w:tabs>
          <w:tab w:val="left" w:pos="0"/>
        </w:tabs>
        <w:spacing w:before="120" w:after="120"/>
        <w:jc w:val="both"/>
        <w:rPr>
          <w:rFonts w:ascii="Tahoma" w:hAnsi="Tahoma" w:cs="Tahoma"/>
          <w:i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SEGUNDO:</w:t>
      </w:r>
      <w:r w:rsidR="000B2192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0B2192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Ordenar la apertura del proceso de responsabilidad fiscal 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>_______ adelantado ante (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 xml:space="preserve">señalar la entidad afectada) </w:t>
      </w:r>
      <w:r w:rsidR="00BA304C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representada legalmente por _______</w:t>
      </w:r>
      <w:r w:rsidR="00BA304C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(</w:t>
      </w:r>
      <w:r w:rsidR="00BA304C">
        <w:rPr>
          <w:rFonts w:ascii="Tahoma" w:hAnsi="Tahoma" w:cs="Tahoma"/>
          <w:i/>
          <w:color w:val="000000"/>
          <w:sz w:val="22"/>
          <w:szCs w:val="22"/>
          <w:lang w:val="es-CO"/>
        </w:rPr>
        <w:t>identificación del representante legal actual de la entidad afectada).</w:t>
      </w:r>
    </w:p>
    <w:p w14:paraId="647F9BFC" w14:textId="77777777" w:rsidR="00BA304C" w:rsidRPr="00A210C1" w:rsidRDefault="005F42FB" w:rsidP="00BA304C">
      <w:pPr>
        <w:widowControl/>
        <w:tabs>
          <w:tab w:val="left" w:pos="-3686"/>
        </w:tabs>
        <w:spacing w:before="120" w:after="120"/>
        <w:jc w:val="both"/>
        <w:rPr>
          <w:rFonts w:ascii="Tahoma" w:hAnsi="Tahoma" w:cs="Tahoma"/>
          <w:iCs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lastRenderedPageBreak/>
        <w:t>ARTÍCULO TERCERO:</w:t>
      </w:r>
      <w:r w:rsidR="00BC6348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BA304C" w:rsidRPr="00A210C1">
        <w:rPr>
          <w:rFonts w:ascii="Tahoma" w:hAnsi="Tahoma" w:cs="Tahoma"/>
          <w:iCs/>
          <w:sz w:val="22"/>
          <w:szCs w:val="22"/>
          <w:lang w:val="es-CO"/>
        </w:rPr>
        <w:t xml:space="preserve">Los antecedentes que hacen parte de la indagación preliminar, así como las pruebas debidamente practicadas serán el soporte legal del proceso objeto de apertura. </w:t>
      </w:r>
    </w:p>
    <w:p w14:paraId="5F784573" w14:textId="0E8FF096" w:rsidR="00463178" w:rsidRDefault="00463178" w:rsidP="00BA304C">
      <w:pPr>
        <w:widowControl/>
        <w:tabs>
          <w:tab w:val="left" w:pos="-3544"/>
        </w:tabs>
        <w:spacing w:before="120" w:after="120"/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40D45F0" w14:textId="77777777" w:rsidR="00BA4266" w:rsidRPr="00807027" w:rsidRDefault="005F42FB" w:rsidP="00EC4522">
      <w:pPr>
        <w:widowControl/>
        <w:spacing w:before="120" w:after="12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CUARTO</w:t>
      </w:r>
      <w:r w:rsidR="00997433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Comunicar</w:t>
      </w:r>
      <w:r w:rsidR="00BA4266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al representante legal de la entidad, de la decisión tomada en la presente providencia.</w:t>
      </w:r>
    </w:p>
    <w:p w14:paraId="2C40D703" w14:textId="6D9DAB1E" w:rsidR="00BA4266" w:rsidRPr="00807027" w:rsidRDefault="005F42FB" w:rsidP="00EC4522">
      <w:pPr>
        <w:widowControl/>
        <w:tabs>
          <w:tab w:val="left" w:pos="-6237"/>
        </w:tabs>
        <w:spacing w:before="120" w:after="12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QUINTO:</w:t>
      </w:r>
      <w:r w:rsidR="00BA4266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 xml:space="preserve"> </w:t>
      </w:r>
      <w:r w:rsidR="00BA304C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Contra la presente providencia no procede recurso alguno.</w:t>
      </w:r>
    </w:p>
    <w:p w14:paraId="4E856B3A" w14:textId="0120ABA9" w:rsidR="00BA4266" w:rsidRPr="00807027" w:rsidRDefault="005F42FB" w:rsidP="00EC4522">
      <w:pPr>
        <w:widowControl/>
        <w:tabs>
          <w:tab w:val="left" w:pos="-3544"/>
        </w:tabs>
        <w:spacing w:before="120" w:after="120"/>
        <w:ind w:firstLine="1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ARTÍCULO SEXTO</w:t>
      </w:r>
      <w:r w:rsidR="00997433"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:</w:t>
      </w:r>
      <w:r w:rsidR="00997433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r w:rsidR="00BA304C"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Remítase a la secretaría Común para lo de su competencia.</w:t>
      </w:r>
    </w:p>
    <w:p w14:paraId="1EFA0FEF" w14:textId="77777777" w:rsidR="003D1B4D" w:rsidRPr="00807027" w:rsidRDefault="003D1B4D" w:rsidP="004E6D14">
      <w:pPr>
        <w:widowControl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A41FC3E" w14:textId="77777777" w:rsidR="004E6D14" w:rsidRPr="00807027" w:rsidRDefault="004E6D14" w:rsidP="004E6D14">
      <w:pPr>
        <w:widowControl/>
        <w:tabs>
          <w:tab w:val="left" w:pos="0"/>
        </w:tabs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076CE1C" w14:textId="77777777" w:rsidR="005F42FB" w:rsidRPr="00807027" w:rsidRDefault="005F42FB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CÚMPLASE</w:t>
      </w:r>
    </w:p>
    <w:p w14:paraId="78CDDE1D" w14:textId="350F336F" w:rsidR="005F42FB" w:rsidRDefault="005F42FB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334EF3C" w14:textId="40CA9655" w:rsidR="00BA304C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6F603EF" w14:textId="77777777" w:rsidR="00BA304C" w:rsidRPr="00807027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CCEE57D" w14:textId="77777777" w:rsidR="005F42FB" w:rsidRPr="00807027" w:rsidRDefault="005F42FB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846B610" w14:textId="77777777" w:rsidR="00BC6348" w:rsidRPr="00807027" w:rsidRDefault="005F42FB" w:rsidP="00026DD3">
      <w:pPr>
        <w:widowControl/>
        <w:tabs>
          <w:tab w:val="left" w:pos="0"/>
        </w:tabs>
        <w:jc w:val="center"/>
        <w:rPr>
          <w:rFonts w:ascii="Tahoma" w:hAnsi="Tahoma" w:cs="Tahoma"/>
          <w:b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Director Técnico</w:t>
      </w:r>
      <w:r w:rsidR="00291126"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 xml:space="preserve"> de Responsabilidad Fiscal</w:t>
      </w:r>
    </w:p>
    <w:p w14:paraId="4BC372DB" w14:textId="77777777" w:rsidR="00BC6348" w:rsidRPr="00807027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iCs/>
          <w:color w:val="000000"/>
          <w:sz w:val="22"/>
          <w:szCs w:val="22"/>
          <w:lang w:val="es-CO"/>
        </w:rPr>
        <w:t> </w:t>
      </w:r>
    </w:p>
    <w:p w14:paraId="241A1CE4" w14:textId="1701C57D" w:rsidR="00BC6348" w:rsidRDefault="00BC6348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  <w:r w:rsidRPr="00807027"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  <w:t> </w:t>
      </w:r>
    </w:p>
    <w:p w14:paraId="3A0201D6" w14:textId="7A0D35C5" w:rsidR="00BA304C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67D4CE42" w14:textId="69F9B861" w:rsidR="00BA304C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2C234B7D" w14:textId="77777777" w:rsidR="00BA304C" w:rsidRPr="00807027" w:rsidRDefault="00BA304C" w:rsidP="00026DD3">
      <w:pPr>
        <w:widowControl/>
        <w:tabs>
          <w:tab w:val="left" w:pos="0"/>
        </w:tabs>
        <w:jc w:val="both"/>
        <w:rPr>
          <w:rFonts w:ascii="Tahoma" w:hAnsi="Tahoma" w:cs="Tahoma"/>
          <w:b/>
          <w:bCs/>
          <w:iCs/>
          <w:color w:val="000000"/>
          <w:sz w:val="22"/>
          <w:szCs w:val="22"/>
          <w:lang w:val="es-CO"/>
        </w:rPr>
      </w:pPr>
    </w:p>
    <w:p w14:paraId="18D32ECC" w14:textId="77777777" w:rsidR="00BC6348" w:rsidRPr="00807027" w:rsidRDefault="00BA4266" w:rsidP="00026DD3">
      <w:pPr>
        <w:widowControl/>
        <w:jc w:val="center"/>
        <w:rPr>
          <w:rFonts w:ascii="Tahoma" w:hAnsi="Tahoma" w:cs="Tahoma"/>
          <w:b/>
          <w:sz w:val="22"/>
          <w:szCs w:val="22"/>
          <w:lang w:val="es-CO"/>
        </w:rPr>
      </w:pPr>
      <w:r w:rsidRPr="00807027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Funcionario sustanciador</w:t>
      </w:r>
    </w:p>
    <w:sectPr w:rsidR="00BC6348" w:rsidRPr="00807027" w:rsidSect="00026DD3">
      <w:headerReference w:type="default" r:id="rId7"/>
      <w:footerReference w:type="default" r:id="rId8"/>
      <w:pgSz w:w="12242" w:h="15842" w:code="1"/>
      <w:pgMar w:top="284" w:right="1701" w:bottom="1701" w:left="1701" w:header="709" w:footer="13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26F7F" w14:textId="77777777" w:rsidR="00B70C8E" w:rsidRDefault="00B70C8E">
      <w:r>
        <w:separator/>
      </w:r>
    </w:p>
  </w:endnote>
  <w:endnote w:type="continuationSeparator" w:id="0">
    <w:p w14:paraId="0D8119D1" w14:textId="77777777" w:rsidR="00B70C8E" w:rsidRDefault="00B7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CF849" w14:textId="77777777" w:rsidR="00463178" w:rsidRDefault="00686C7D" w:rsidP="00463178">
    <w:pPr>
      <w:pStyle w:val="Piedepgina"/>
      <w:rPr>
        <w:sz w:val="12"/>
        <w:szCs w:val="22"/>
        <w:lang w:val="es-CO"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A5D1B9" wp14:editId="5A6B6046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0" b="3810"/>
              <wp:wrapNone/>
              <wp:docPr id="2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954DD" w14:textId="77777777" w:rsidR="00463178" w:rsidRDefault="00463178" w:rsidP="0046317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C3BD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C3BD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21990A7" w14:textId="77777777" w:rsidR="00463178" w:rsidRDefault="00463178" w:rsidP="00463178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A5D1B9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">
              <v:path arrowok="t"/>
              <v:textbox>
                <w:txbxContent>
                  <w:p w14:paraId="645954DD" w14:textId="77777777" w:rsidR="00463178" w:rsidRDefault="00463178" w:rsidP="0046317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C3BD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C3BD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21990A7" w14:textId="77777777" w:rsidR="00463178" w:rsidRDefault="00463178" w:rsidP="00463178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BDDC24A" w14:textId="77777777" w:rsidR="00463178" w:rsidRDefault="00463178" w:rsidP="00463178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9C3BDC">
      <w:rPr>
        <w:noProof/>
        <w:color w:val="323E4F"/>
      </w:rPr>
      <w:t>1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9C3BDC">
      <w:rPr>
        <w:noProof/>
        <w:color w:val="323E4F"/>
      </w:rPr>
      <w:t>2</w:t>
    </w:r>
    <w:r>
      <w:rPr>
        <w:color w:val="323E4F"/>
      </w:rPr>
      <w:fldChar w:fldCharType="end"/>
    </w:r>
  </w:p>
  <w:p w14:paraId="75736C71" w14:textId="14600A6D" w:rsidR="00463178" w:rsidRDefault="00463178" w:rsidP="00463178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>Aprobado</w:t>
    </w:r>
    <w:r w:rsidR="009C3BDC">
      <w:rPr>
        <w:rFonts w:cs="Tahoma"/>
        <w:sz w:val="18"/>
        <w:szCs w:val="18"/>
        <w:lang w:val="es-MX"/>
      </w:rPr>
      <w:t xml:space="preserve"> 12 de diciembre de 2022</w:t>
    </w:r>
    <w:r>
      <w:rPr>
        <w:rFonts w:cs="Tahoma"/>
        <w:sz w:val="18"/>
        <w:szCs w:val="18"/>
        <w:lang w:val="es-MX"/>
      </w:rPr>
      <w:t xml:space="preserve">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81429E7" w14:textId="77777777" w:rsidR="00463178" w:rsidRDefault="00463178" w:rsidP="00463178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89870B0" w14:textId="77777777" w:rsidR="00087FB4" w:rsidRPr="00463178" w:rsidRDefault="00463178" w:rsidP="00463178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25B0C" w14:textId="77777777" w:rsidR="00B70C8E" w:rsidRDefault="00B70C8E">
      <w:r>
        <w:separator/>
      </w:r>
    </w:p>
  </w:footnote>
  <w:footnote w:type="continuationSeparator" w:id="0">
    <w:p w14:paraId="6A996D2A" w14:textId="77777777" w:rsidR="00B70C8E" w:rsidRDefault="00B70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6"/>
      <w:gridCol w:w="3561"/>
      <w:gridCol w:w="1867"/>
      <w:gridCol w:w="1355"/>
    </w:tblGrid>
    <w:tr w:rsidR="00087FB4" w:rsidRPr="005B4896" w14:paraId="61D95039" w14:textId="77777777" w:rsidTr="006545F8">
      <w:trPr>
        <w:cantSplit/>
        <w:trHeight w:val="388"/>
      </w:trPr>
      <w:tc>
        <w:tcPr>
          <w:tcW w:w="157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1FD299" w14:textId="3103E05E" w:rsidR="00087FB4" w:rsidRPr="005B4896" w:rsidRDefault="009C3BDC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>
            <w:object w:dxaOrig="2805" w:dyaOrig="2340" w14:anchorId="7245CB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5pt;height:81pt" o:ole="">
                <v:imagedata r:id="rId1" o:title=""/>
              </v:shape>
              <o:OLEObject Type="Embed" ProgID="PBrush" ShapeID="_x0000_i1025" DrawAspect="Content" ObjectID="_1731827163" r:id="rId2"/>
            </w:object>
          </w:r>
        </w:p>
      </w:tc>
      <w:tc>
        <w:tcPr>
          <w:tcW w:w="7215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4DF1F6E" w14:textId="77777777" w:rsidR="00CF30C2" w:rsidRDefault="00CF30C2" w:rsidP="00087FB4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5EC5B5B9" w14:textId="77777777" w:rsidR="00087FB4" w:rsidRPr="005B4896" w:rsidRDefault="00087FB4" w:rsidP="00087FB4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12BC7">
            <w:rPr>
              <w:rFonts w:ascii="Tahoma" w:hAnsi="Tahoma" w:cs="Tahoma"/>
              <w:b/>
              <w:bCs/>
              <w:sz w:val="20"/>
              <w:szCs w:val="20"/>
            </w:rPr>
            <w:t xml:space="preserve">AUTO DE </w:t>
          </w:r>
          <w:r w:rsidR="00C478F7">
            <w:rPr>
              <w:rFonts w:ascii="Tahoma" w:hAnsi="Tahoma" w:cs="Tahoma"/>
              <w:b/>
              <w:bCs/>
              <w:sz w:val="20"/>
              <w:szCs w:val="20"/>
            </w:rPr>
            <w:t>CIERRE DE INDAGACIÓ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N PRELIMINAR</w:t>
          </w:r>
        </w:p>
      </w:tc>
    </w:tr>
    <w:tr w:rsidR="00087FB4" w:rsidRPr="005B4896" w14:paraId="4D103FE3" w14:textId="77777777" w:rsidTr="00930771">
      <w:trPr>
        <w:cantSplit/>
        <w:trHeight w:val="52"/>
      </w:trPr>
      <w:tc>
        <w:tcPr>
          <w:tcW w:w="157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8E788A0" w14:textId="77777777" w:rsidR="00087FB4" w:rsidRPr="005B4896" w:rsidRDefault="00087FB4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81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5714DE0" w14:textId="77777777" w:rsidR="00087FB4" w:rsidRPr="005B4896" w:rsidRDefault="00087FB4" w:rsidP="00991D91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Proceso: </w:t>
          </w:r>
          <w:r w:rsidRPr="005B4896">
            <w:rPr>
              <w:rFonts w:ascii="Tahoma" w:hAnsi="Tahoma" w:cs="Tahoma"/>
              <w:sz w:val="18"/>
              <w:szCs w:val="20"/>
            </w:rPr>
            <w:t>RF-Responsabilidad Fiscal</w:t>
          </w:r>
          <w:r w:rsidRPr="005B4896">
            <w:rPr>
              <w:rFonts w:ascii="Tahoma" w:hAnsi="Tahoma" w:cs="Tahoma"/>
              <w:b/>
              <w:sz w:val="18"/>
              <w:szCs w:val="20"/>
            </w:rPr>
            <w:t xml:space="preserve"> </w:t>
          </w:r>
        </w:p>
      </w:tc>
      <w:tc>
        <w:tcPr>
          <w:tcW w:w="1984" w:type="dxa"/>
          <w:shd w:val="clear" w:color="auto" w:fill="auto"/>
          <w:vAlign w:val="center"/>
        </w:tcPr>
        <w:p w14:paraId="36C5457F" w14:textId="2EDE0EEB" w:rsidR="00087FB4" w:rsidRPr="005B4896" w:rsidRDefault="00087FB4" w:rsidP="00087FB4">
          <w:pPr>
            <w:widowControl/>
            <w:tabs>
              <w:tab w:val="center" w:pos="4252"/>
              <w:tab w:val="right" w:pos="8504"/>
            </w:tabs>
            <w:autoSpaceDE/>
            <w:autoSpaceDN/>
            <w:adjustRightInd/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Código:</w:t>
          </w:r>
          <w:r w:rsidRPr="005B4896">
            <w:rPr>
              <w:rFonts w:ascii="Tahoma" w:hAnsi="Tahoma" w:cs="Tahoma"/>
              <w:sz w:val="18"/>
              <w:szCs w:val="20"/>
            </w:rPr>
            <w:t xml:space="preserve"> RRF-</w:t>
          </w:r>
          <w:r w:rsidR="00BA304C">
            <w:rPr>
              <w:rFonts w:ascii="Tahoma" w:hAnsi="Tahoma" w:cs="Tahoma"/>
              <w:sz w:val="18"/>
              <w:szCs w:val="20"/>
            </w:rPr>
            <w:t>010</w:t>
          </w:r>
        </w:p>
      </w:tc>
      <w:tc>
        <w:tcPr>
          <w:tcW w:w="141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07D8AD" w14:textId="0E63EA74" w:rsidR="00087FB4" w:rsidRPr="005B4896" w:rsidRDefault="00087FB4" w:rsidP="00991D91">
          <w:pPr>
            <w:widowControl/>
            <w:autoSpaceDE/>
            <w:autoSpaceDN/>
            <w:adjustRightInd/>
            <w:jc w:val="center"/>
            <w:rPr>
              <w:rFonts w:ascii="Tahoma" w:hAnsi="Tahoma" w:cs="Tahoma"/>
              <w:sz w:val="18"/>
              <w:szCs w:val="20"/>
            </w:rPr>
          </w:pPr>
          <w:r w:rsidRPr="005B4896">
            <w:rPr>
              <w:rFonts w:ascii="Tahoma" w:hAnsi="Tahoma" w:cs="Tahoma"/>
              <w:b/>
              <w:sz w:val="18"/>
              <w:szCs w:val="20"/>
            </w:rPr>
            <w:t>Versión:</w:t>
          </w:r>
          <w:r w:rsidR="00463178">
            <w:rPr>
              <w:rFonts w:ascii="Tahoma" w:hAnsi="Tahoma" w:cs="Tahoma"/>
              <w:sz w:val="18"/>
              <w:szCs w:val="20"/>
            </w:rPr>
            <w:t xml:space="preserve">  0</w:t>
          </w:r>
          <w:r w:rsidR="009C3BDC">
            <w:rPr>
              <w:rFonts w:ascii="Tahoma" w:hAnsi="Tahoma" w:cs="Tahoma"/>
              <w:sz w:val="18"/>
              <w:szCs w:val="20"/>
            </w:rPr>
            <w:t>2</w:t>
          </w:r>
        </w:p>
      </w:tc>
    </w:tr>
  </w:tbl>
  <w:p w14:paraId="036FB58B" w14:textId="77777777" w:rsidR="00087FB4" w:rsidRPr="00087FB4" w:rsidRDefault="00087FB4" w:rsidP="00087FB4">
    <w:pPr>
      <w:pStyle w:val="Encabezado"/>
      <w:tabs>
        <w:tab w:val="clear" w:pos="4252"/>
        <w:tab w:val="clear" w:pos="8504"/>
        <w:tab w:val="left" w:pos="1122"/>
      </w:tabs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8F"/>
    <w:rsid w:val="00026DD3"/>
    <w:rsid w:val="00027414"/>
    <w:rsid w:val="00064483"/>
    <w:rsid w:val="00076E7F"/>
    <w:rsid w:val="00087FB4"/>
    <w:rsid w:val="00097452"/>
    <w:rsid w:val="000A24D6"/>
    <w:rsid w:val="000B2192"/>
    <w:rsid w:val="000D51EE"/>
    <w:rsid w:val="001120DB"/>
    <w:rsid w:val="001272B8"/>
    <w:rsid w:val="0019035E"/>
    <w:rsid w:val="00195213"/>
    <w:rsid w:val="001E2E8C"/>
    <w:rsid w:val="002316B8"/>
    <w:rsid w:val="00287D2D"/>
    <w:rsid w:val="00291126"/>
    <w:rsid w:val="002F7157"/>
    <w:rsid w:val="00361F7F"/>
    <w:rsid w:val="003C14D4"/>
    <w:rsid w:val="003D1B4D"/>
    <w:rsid w:val="003D3ADB"/>
    <w:rsid w:val="00403FAD"/>
    <w:rsid w:val="0041283F"/>
    <w:rsid w:val="00455121"/>
    <w:rsid w:val="00463178"/>
    <w:rsid w:val="004C1F27"/>
    <w:rsid w:val="004C3731"/>
    <w:rsid w:val="004E0709"/>
    <w:rsid w:val="004E6D14"/>
    <w:rsid w:val="005278CC"/>
    <w:rsid w:val="00563D93"/>
    <w:rsid w:val="00575405"/>
    <w:rsid w:val="005C6A8F"/>
    <w:rsid w:val="005D08FD"/>
    <w:rsid w:val="005D238F"/>
    <w:rsid w:val="005F42FB"/>
    <w:rsid w:val="00604C4B"/>
    <w:rsid w:val="006545F8"/>
    <w:rsid w:val="00686C7D"/>
    <w:rsid w:val="00691729"/>
    <w:rsid w:val="006C73C9"/>
    <w:rsid w:val="006E26FF"/>
    <w:rsid w:val="00721BB8"/>
    <w:rsid w:val="0075088D"/>
    <w:rsid w:val="0077117D"/>
    <w:rsid w:val="007B6459"/>
    <w:rsid w:val="007C71CC"/>
    <w:rsid w:val="008020C9"/>
    <w:rsid w:val="00807027"/>
    <w:rsid w:val="00812DB4"/>
    <w:rsid w:val="008B7482"/>
    <w:rsid w:val="008F1633"/>
    <w:rsid w:val="008F599A"/>
    <w:rsid w:val="0090221F"/>
    <w:rsid w:val="009151F8"/>
    <w:rsid w:val="00930771"/>
    <w:rsid w:val="009316FC"/>
    <w:rsid w:val="00945DAE"/>
    <w:rsid w:val="00951FDF"/>
    <w:rsid w:val="00991D91"/>
    <w:rsid w:val="00992B68"/>
    <w:rsid w:val="00997433"/>
    <w:rsid w:val="009C3BDC"/>
    <w:rsid w:val="00A623C8"/>
    <w:rsid w:val="00AB371E"/>
    <w:rsid w:val="00AC79B3"/>
    <w:rsid w:val="00AD5B8F"/>
    <w:rsid w:val="00AD78AC"/>
    <w:rsid w:val="00AE450C"/>
    <w:rsid w:val="00B026FB"/>
    <w:rsid w:val="00B70C8E"/>
    <w:rsid w:val="00BA304C"/>
    <w:rsid w:val="00BA4266"/>
    <w:rsid w:val="00BB143C"/>
    <w:rsid w:val="00BC6348"/>
    <w:rsid w:val="00BF0EA8"/>
    <w:rsid w:val="00C26773"/>
    <w:rsid w:val="00C478F7"/>
    <w:rsid w:val="00C51CA9"/>
    <w:rsid w:val="00CF30C2"/>
    <w:rsid w:val="00D11E46"/>
    <w:rsid w:val="00D22E98"/>
    <w:rsid w:val="00D32D4E"/>
    <w:rsid w:val="00D41DC0"/>
    <w:rsid w:val="00D426E5"/>
    <w:rsid w:val="00D91F3E"/>
    <w:rsid w:val="00DB3F9A"/>
    <w:rsid w:val="00E0004A"/>
    <w:rsid w:val="00E7487A"/>
    <w:rsid w:val="00E81F09"/>
    <w:rsid w:val="00E93A62"/>
    <w:rsid w:val="00EC1E7A"/>
    <w:rsid w:val="00EC4522"/>
    <w:rsid w:val="00ED3822"/>
    <w:rsid w:val="00EE25BE"/>
    <w:rsid w:val="00F436A5"/>
    <w:rsid w:val="00F675CD"/>
    <w:rsid w:val="00FD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3A07EE"/>
  <w15:chartTrackingRefBased/>
  <w15:docId w15:val="{A8FBF62D-D291-1A41-8344-0E642314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9"/>
    <w:qFormat/>
    <w:pPr>
      <w:keepNext/>
      <w:tabs>
        <w:tab w:val="left" w:pos="0"/>
      </w:tabs>
      <w:spacing w:before="120" w:after="120"/>
      <w:jc w:val="both"/>
      <w:outlineLvl w:val="0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paragraph" w:styleId="Ttulo2">
    <w:name w:val="heading 2"/>
    <w:basedOn w:val="Normal"/>
    <w:link w:val="Ttulo2Car"/>
    <w:uiPriority w:val="99"/>
    <w:qFormat/>
    <w:pPr>
      <w:keepNext/>
      <w:tabs>
        <w:tab w:val="left" w:pos="0"/>
      </w:tabs>
      <w:spacing w:before="120" w:after="120"/>
      <w:jc w:val="center"/>
      <w:outlineLvl w:val="1"/>
    </w:pPr>
    <w:rPr>
      <w:rFonts w:ascii="Arial" w:hAnsi="Arial" w:cs="Arial"/>
      <w:b/>
      <w:bCs/>
      <w:i/>
      <w:iCs/>
      <w:color w:val="000000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Pr>
      <w:rFonts w:ascii="Cambria" w:eastAsia="Times New Roman" w:hAnsi="Cambria" w:cs="Cambria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9"/>
    <w:semiHidden/>
    <w:rPr>
      <w:rFonts w:ascii="Cambria" w:eastAsia="Times New Roman" w:hAnsi="Cambria" w:cs="Cambria"/>
      <w:b/>
      <w:bCs/>
      <w:i/>
      <w:iCs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rsid w:val="005C6A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5C6A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291126"/>
  </w:style>
  <w:style w:type="character" w:styleId="Refdecomentario">
    <w:name w:val="annotation reference"/>
    <w:uiPriority w:val="99"/>
    <w:semiHidden/>
    <w:unhideWhenUsed/>
    <w:rsid w:val="00026D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6DD3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26DD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6DD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26DD3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6D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6DD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EBF81-F44F-4E73-B919-C50EE651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 de Cierre de Indagación Preliminar</vt:lpstr>
    </vt:vector>
  </TitlesOfParts>
  <Company>.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 de Cierre de Indagación Preliminar</dc:title>
  <dc:subject/>
  <dc:creator>Carolina</dc:creator>
  <cp:keywords/>
  <dc:description/>
  <cp:lastModifiedBy>Cuenta Microsoft</cp:lastModifiedBy>
  <cp:revision>6</cp:revision>
  <cp:lastPrinted>2010-01-13T22:27:00Z</cp:lastPrinted>
  <dcterms:created xsi:type="dcterms:W3CDTF">2021-05-26T02:53:00Z</dcterms:created>
  <dcterms:modified xsi:type="dcterms:W3CDTF">2022-12-06T15:19:00Z</dcterms:modified>
</cp:coreProperties>
</file>