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891" w:type="dxa"/>
        <w:tblCellMar>
          <w:top w:w="62" w:type="dxa"/>
          <w:left w:w="41" w:type="dxa"/>
          <w:right w:w="34" w:type="dxa"/>
        </w:tblCellMar>
        <w:tblLook w:val="04A0" w:firstRow="1" w:lastRow="0" w:firstColumn="1" w:lastColumn="0" w:noHBand="0" w:noVBand="1"/>
      </w:tblPr>
      <w:tblGrid>
        <w:gridCol w:w="1843"/>
        <w:gridCol w:w="7048"/>
      </w:tblGrid>
      <w:tr w:rsidR="00D26F00" w:rsidRPr="00D44484" w:rsidTr="009B5CAD">
        <w:trPr>
          <w:trHeight w:val="396"/>
        </w:trPr>
        <w:tc>
          <w:tcPr>
            <w:tcW w:w="8891" w:type="dxa"/>
            <w:gridSpan w:val="2"/>
            <w:tcBorders>
              <w:top w:val="single" w:sz="4" w:space="0" w:color="000000"/>
              <w:left w:val="single" w:sz="4" w:space="0" w:color="000000"/>
              <w:bottom w:val="single" w:sz="4" w:space="0" w:color="000000"/>
              <w:right w:val="single" w:sz="4" w:space="0" w:color="000000"/>
            </w:tcBorders>
            <w:shd w:val="clear" w:color="auto" w:fill="auto"/>
          </w:tcPr>
          <w:p w:rsidR="00D26F00" w:rsidRPr="009E00B8" w:rsidRDefault="004C10ED" w:rsidP="009B5CAD">
            <w:pPr>
              <w:spacing w:after="200" w:line="276" w:lineRule="auto"/>
              <w:jc w:val="center"/>
              <w:rPr>
                <w:rFonts w:ascii="Arial Narrow" w:hAnsi="Arial Narrow" w:cs="Arial"/>
                <w:b/>
                <w:sz w:val="24"/>
                <w:szCs w:val="24"/>
              </w:rPr>
            </w:pPr>
            <w:r>
              <w:rPr>
                <w:rFonts w:ascii="Arial Narrow" w:hAnsi="Arial Narrow"/>
                <w:b/>
                <w:sz w:val="24"/>
                <w:szCs w:val="24"/>
              </w:rPr>
              <w:t xml:space="preserve">SECRETARIA GENERAL DE LA CONTRALORIA DEPARTAMENTAL DEL TOLIMA </w:t>
            </w:r>
          </w:p>
        </w:tc>
      </w:tr>
      <w:tr w:rsidR="00D26F00" w:rsidRPr="00D44484" w:rsidTr="009B5CAD">
        <w:trPr>
          <w:trHeight w:val="396"/>
        </w:trPr>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26F00" w:rsidRPr="00D44484" w:rsidRDefault="00D26F00" w:rsidP="009B5CAD">
            <w:pPr>
              <w:spacing w:line="276" w:lineRule="auto"/>
              <w:ind w:left="14"/>
              <w:rPr>
                <w:rFonts w:ascii="Arial Narrow" w:hAnsi="Arial Narrow" w:cs="Arial"/>
                <w:b/>
                <w:sz w:val="24"/>
                <w:szCs w:val="24"/>
              </w:rPr>
            </w:pPr>
            <w:r w:rsidRPr="00D44484">
              <w:rPr>
                <w:rFonts w:ascii="Arial Narrow" w:hAnsi="Arial Narrow" w:cs="Arial"/>
                <w:b/>
                <w:sz w:val="24"/>
                <w:szCs w:val="24"/>
              </w:rPr>
              <w:t xml:space="preserve">No. EXPEDIENTE </w:t>
            </w:r>
          </w:p>
        </w:tc>
        <w:tc>
          <w:tcPr>
            <w:tcW w:w="7048" w:type="dxa"/>
            <w:tcBorders>
              <w:top w:val="single" w:sz="4" w:space="0" w:color="000000"/>
              <w:left w:val="single" w:sz="4" w:space="0" w:color="000000"/>
              <w:bottom w:val="single" w:sz="4" w:space="0" w:color="000000"/>
              <w:right w:val="single" w:sz="4" w:space="0" w:color="000000"/>
            </w:tcBorders>
            <w:shd w:val="clear" w:color="auto" w:fill="auto"/>
          </w:tcPr>
          <w:p w:rsidR="00D26F00" w:rsidRPr="00D44484" w:rsidRDefault="00D26F00" w:rsidP="004C10ED">
            <w:pPr>
              <w:spacing w:line="276" w:lineRule="auto"/>
              <w:rPr>
                <w:rFonts w:ascii="Arial Narrow" w:hAnsi="Arial Narrow" w:cs="Arial"/>
                <w:b/>
                <w:sz w:val="24"/>
                <w:szCs w:val="24"/>
              </w:rPr>
            </w:pPr>
            <w:r w:rsidRPr="00D44484">
              <w:rPr>
                <w:rFonts w:ascii="Arial Narrow" w:hAnsi="Arial Narrow" w:cs="Arial"/>
                <w:b/>
                <w:sz w:val="24"/>
                <w:szCs w:val="24"/>
              </w:rPr>
              <w:t xml:space="preserve"> </w:t>
            </w:r>
            <w:r w:rsidRPr="009E00B8">
              <w:rPr>
                <w:rFonts w:ascii="Arial Narrow" w:hAnsi="Arial Narrow" w:cs="Arial"/>
                <w:b/>
                <w:sz w:val="24"/>
                <w:szCs w:val="24"/>
              </w:rPr>
              <w:t>001-202</w:t>
            </w:r>
            <w:r w:rsidR="004C10ED">
              <w:rPr>
                <w:rFonts w:ascii="Arial Narrow" w:hAnsi="Arial Narrow" w:cs="Arial"/>
                <w:b/>
                <w:sz w:val="24"/>
                <w:szCs w:val="24"/>
              </w:rPr>
              <w:t>4</w:t>
            </w:r>
          </w:p>
        </w:tc>
      </w:tr>
      <w:tr w:rsidR="00D26F00" w:rsidRPr="00D44484" w:rsidTr="009B5CAD">
        <w:trPr>
          <w:trHeight w:val="396"/>
        </w:trPr>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26F00" w:rsidRPr="00D44484" w:rsidRDefault="00D26F00" w:rsidP="009B5CAD">
            <w:pPr>
              <w:spacing w:line="276" w:lineRule="auto"/>
              <w:ind w:left="14"/>
              <w:rPr>
                <w:rFonts w:ascii="Arial Narrow" w:hAnsi="Arial Narrow" w:cs="Arial"/>
                <w:b/>
                <w:sz w:val="24"/>
                <w:szCs w:val="24"/>
              </w:rPr>
            </w:pPr>
            <w:bookmarkStart w:id="0" w:name="_GoBack" w:colFirst="2" w:colLast="2"/>
            <w:r w:rsidRPr="00D44484">
              <w:rPr>
                <w:rFonts w:ascii="Arial Narrow" w:hAnsi="Arial Narrow" w:cs="Arial"/>
                <w:b/>
                <w:sz w:val="24"/>
                <w:szCs w:val="24"/>
              </w:rPr>
              <w:t xml:space="preserve">INDAGADOS: </w:t>
            </w:r>
          </w:p>
        </w:tc>
        <w:tc>
          <w:tcPr>
            <w:tcW w:w="7048" w:type="dxa"/>
            <w:tcBorders>
              <w:top w:val="single" w:sz="4" w:space="0" w:color="000000"/>
              <w:left w:val="single" w:sz="4" w:space="0" w:color="000000"/>
              <w:bottom w:val="single" w:sz="4" w:space="0" w:color="000000"/>
              <w:right w:val="single" w:sz="4" w:space="0" w:color="000000"/>
            </w:tcBorders>
            <w:shd w:val="clear" w:color="auto" w:fill="auto"/>
          </w:tcPr>
          <w:p w:rsidR="00D26F00" w:rsidRPr="00D44484" w:rsidRDefault="00D26F00" w:rsidP="009B5CAD">
            <w:pPr>
              <w:spacing w:line="276" w:lineRule="auto"/>
              <w:rPr>
                <w:rFonts w:ascii="Arial Narrow" w:hAnsi="Arial Narrow" w:cs="Arial"/>
                <w:b/>
                <w:sz w:val="24"/>
                <w:szCs w:val="24"/>
              </w:rPr>
            </w:pPr>
            <w:r w:rsidRPr="00D44484">
              <w:rPr>
                <w:rFonts w:ascii="Arial Narrow" w:hAnsi="Arial Narrow" w:cs="Arial"/>
                <w:b/>
                <w:sz w:val="24"/>
                <w:szCs w:val="24"/>
              </w:rPr>
              <w:t xml:space="preserve"> EN AVERIGUACION DE RESPONSABLES </w:t>
            </w:r>
          </w:p>
        </w:tc>
      </w:tr>
      <w:bookmarkEnd w:id="0"/>
      <w:tr w:rsidR="00D26F00" w:rsidRPr="00D44484" w:rsidTr="009B5CAD">
        <w:trPr>
          <w:trHeight w:val="396"/>
        </w:trPr>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26F00" w:rsidRPr="00D44484" w:rsidRDefault="00D26F00" w:rsidP="009B5CAD">
            <w:pPr>
              <w:spacing w:line="276" w:lineRule="auto"/>
              <w:ind w:left="14"/>
              <w:rPr>
                <w:rFonts w:ascii="Arial Narrow" w:hAnsi="Arial Narrow" w:cs="Arial"/>
                <w:b/>
                <w:sz w:val="24"/>
                <w:szCs w:val="24"/>
              </w:rPr>
            </w:pPr>
            <w:r w:rsidRPr="00D44484">
              <w:rPr>
                <w:rFonts w:ascii="Arial Narrow" w:hAnsi="Arial Narrow" w:cs="Arial"/>
                <w:b/>
                <w:sz w:val="24"/>
                <w:szCs w:val="24"/>
              </w:rPr>
              <w:t xml:space="preserve">CARGO Y ENTIDAD: </w:t>
            </w:r>
          </w:p>
        </w:tc>
        <w:tc>
          <w:tcPr>
            <w:tcW w:w="7048" w:type="dxa"/>
            <w:tcBorders>
              <w:top w:val="single" w:sz="4" w:space="0" w:color="000000"/>
              <w:left w:val="single" w:sz="4" w:space="0" w:color="000000"/>
              <w:bottom w:val="single" w:sz="4" w:space="0" w:color="000000"/>
              <w:right w:val="single" w:sz="4" w:space="0" w:color="000000"/>
            </w:tcBorders>
            <w:shd w:val="clear" w:color="auto" w:fill="auto"/>
          </w:tcPr>
          <w:p w:rsidR="00D26F00" w:rsidRPr="00D44484" w:rsidRDefault="00D26F00" w:rsidP="009B5CAD">
            <w:pPr>
              <w:spacing w:line="276" w:lineRule="auto"/>
              <w:ind w:left="15"/>
              <w:jc w:val="both"/>
              <w:rPr>
                <w:rFonts w:ascii="Arial Narrow" w:hAnsi="Arial Narrow" w:cs="Arial"/>
                <w:b/>
                <w:sz w:val="24"/>
                <w:szCs w:val="24"/>
              </w:rPr>
            </w:pPr>
            <w:r>
              <w:rPr>
                <w:rFonts w:ascii="Arial Narrow" w:hAnsi="Arial Narrow" w:cs="Arial"/>
                <w:b/>
                <w:sz w:val="24"/>
                <w:szCs w:val="24"/>
              </w:rPr>
              <w:t>NO APLICA</w:t>
            </w:r>
          </w:p>
        </w:tc>
      </w:tr>
      <w:tr w:rsidR="00D26F00" w:rsidRPr="00D44484" w:rsidTr="009B5CAD">
        <w:trPr>
          <w:trHeight w:val="396"/>
        </w:trPr>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26F00" w:rsidRPr="00D44484" w:rsidRDefault="00D26F00" w:rsidP="009B5CAD">
            <w:pPr>
              <w:spacing w:line="276" w:lineRule="auto"/>
              <w:rPr>
                <w:rFonts w:ascii="Arial Narrow" w:hAnsi="Arial Narrow" w:cs="Arial"/>
                <w:b/>
                <w:sz w:val="24"/>
                <w:szCs w:val="24"/>
              </w:rPr>
            </w:pPr>
            <w:r w:rsidRPr="00D44484">
              <w:rPr>
                <w:rFonts w:ascii="Arial Narrow" w:hAnsi="Arial Narrow" w:cs="Arial"/>
                <w:b/>
                <w:sz w:val="24"/>
                <w:szCs w:val="24"/>
              </w:rPr>
              <w:t xml:space="preserve">HECHOS: </w:t>
            </w:r>
          </w:p>
        </w:tc>
        <w:tc>
          <w:tcPr>
            <w:tcW w:w="7048" w:type="dxa"/>
            <w:tcBorders>
              <w:top w:val="single" w:sz="4" w:space="0" w:color="000000"/>
              <w:left w:val="single" w:sz="4" w:space="0" w:color="000000"/>
              <w:bottom w:val="single" w:sz="4" w:space="0" w:color="000000"/>
              <w:right w:val="single" w:sz="4" w:space="0" w:color="000000"/>
            </w:tcBorders>
            <w:shd w:val="clear" w:color="auto" w:fill="auto"/>
          </w:tcPr>
          <w:p w:rsidR="00D26F00" w:rsidRPr="009E00B8" w:rsidRDefault="00D26F00" w:rsidP="004C10ED">
            <w:pPr>
              <w:spacing w:line="276" w:lineRule="auto"/>
              <w:ind w:left="15"/>
              <w:jc w:val="both"/>
              <w:rPr>
                <w:rFonts w:ascii="Arial Narrow" w:hAnsi="Arial Narrow" w:cs="Arial"/>
                <w:b/>
                <w:sz w:val="24"/>
                <w:szCs w:val="24"/>
              </w:rPr>
            </w:pPr>
            <w:r w:rsidRPr="009E00B8">
              <w:rPr>
                <w:rFonts w:ascii="Arial Narrow" w:hAnsi="Arial Narrow" w:cs="Arial"/>
                <w:b/>
                <w:sz w:val="24"/>
                <w:szCs w:val="24"/>
              </w:rPr>
              <w:t xml:space="preserve">PRESUNTA </w:t>
            </w:r>
            <w:r w:rsidRPr="009E00B8">
              <w:rPr>
                <w:rFonts w:ascii="Arial Narrow" w:hAnsi="Arial Narrow"/>
                <w:b/>
                <w:sz w:val="24"/>
                <w:szCs w:val="24"/>
              </w:rPr>
              <w:t xml:space="preserve">OMISIÓN </w:t>
            </w:r>
            <w:r w:rsidR="004C10ED">
              <w:rPr>
                <w:rFonts w:ascii="Arial Narrow" w:hAnsi="Arial Narrow"/>
                <w:b/>
                <w:sz w:val="24"/>
                <w:szCs w:val="24"/>
              </w:rPr>
              <w:t xml:space="preserve">EN LA ADQUISIÓN DE POLIZAS DE SEGUROS QUE AMPARAN LOS BIENES MUEBLES, INMUEBLES E INTERESES PATRIMONIALES DE LA CONTRALORIA DEPARTAMENTAL DEL TOLIMA </w:t>
            </w:r>
          </w:p>
        </w:tc>
      </w:tr>
      <w:tr w:rsidR="00D26F00" w:rsidRPr="00D44484" w:rsidTr="009B5CAD">
        <w:trPr>
          <w:trHeight w:val="396"/>
        </w:trPr>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26F00" w:rsidRPr="00D44484" w:rsidRDefault="00D26F00" w:rsidP="009B5CAD">
            <w:pPr>
              <w:spacing w:line="276" w:lineRule="auto"/>
              <w:rPr>
                <w:rFonts w:ascii="Arial Narrow" w:hAnsi="Arial Narrow" w:cs="Arial"/>
                <w:b/>
                <w:sz w:val="24"/>
                <w:szCs w:val="24"/>
              </w:rPr>
            </w:pPr>
            <w:r>
              <w:rPr>
                <w:rFonts w:ascii="Arial Narrow" w:hAnsi="Arial Narrow" w:cs="Arial"/>
                <w:b/>
                <w:sz w:val="24"/>
                <w:szCs w:val="24"/>
              </w:rPr>
              <w:t>INFORMANTE</w:t>
            </w:r>
            <w:r w:rsidRPr="00D44484">
              <w:rPr>
                <w:rFonts w:ascii="Arial Narrow" w:hAnsi="Arial Narrow" w:cs="Arial"/>
                <w:b/>
                <w:sz w:val="24"/>
                <w:szCs w:val="24"/>
              </w:rPr>
              <w:t xml:space="preserve"> </w:t>
            </w:r>
          </w:p>
        </w:tc>
        <w:tc>
          <w:tcPr>
            <w:tcW w:w="7048" w:type="dxa"/>
            <w:tcBorders>
              <w:top w:val="single" w:sz="4" w:space="0" w:color="000000"/>
              <w:left w:val="single" w:sz="4" w:space="0" w:color="000000"/>
              <w:bottom w:val="single" w:sz="4" w:space="0" w:color="000000"/>
              <w:right w:val="single" w:sz="4" w:space="0" w:color="000000"/>
            </w:tcBorders>
            <w:shd w:val="clear" w:color="auto" w:fill="auto"/>
          </w:tcPr>
          <w:p w:rsidR="00D26F00" w:rsidRPr="009E00B8" w:rsidRDefault="004C10ED" w:rsidP="009B5CAD">
            <w:pPr>
              <w:spacing w:line="276" w:lineRule="auto"/>
              <w:ind w:left="15"/>
              <w:jc w:val="both"/>
              <w:rPr>
                <w:rFonts w:ascii="Arial Narrow" w:hAnsi="Arial Narrow" w:cs="Arial"/>
                <w:b/>
                <w:sz w:val="24"/>
                <w:szCs w:val="24"/>
              </w:rPr>
            </w:pPr>
            <w:r>
              <w:rPr>
                <w:rFonts w:ascii="Arial Narrow" w:hAnsi="Arial Narrow"/>
                <w:b/>
                <w:sz w:val="24"/>
                <w:szCs w:val="24"/>
              </w:rPr>
              <w:t xml:space="preserve">SERVIDOR PUBLICO </w:t>
            </w:r>
          </w:p>
        </w:tc>
      </w:tr>
      <w:tr w:rsidR="00D26F00" w:rsidRPr="00D44484" w:rsidTr="009B5CAD">
        <w:trPr>
          <w:trHeight w:val="396"/>
        </w:trPr>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26F00" w:rsidRPr="00D44484" w:rsidRDefault="00D26F00" w:rsidP="009B5CAD">
            <w:pPr>
              <w:spacing w:line="276" w:lineRule="auto"/>
              <w:rPr>
                <w:rFonts w:ascii="Arial Narrow" w:hAnsi="Arial Narrow" w:cs="Arial"/>
                <w:b/>
                <w:sz w:val="24"/>
                <w:szCs w:val="24"/>
              </w:rPr>
            </w:pPr>
            <w:r w:rsidRPr="00D44484">
              <w:rPr>
                <w:rFonts w:ascii="Arial Narrow" w:hAnsi="Arial Narrow" w:cs="Arial"/>
                <w:b/>
                <w:sz w:val="24"/>
                <w:szCs w:val="24"/>
              </w:rPr>
              <w:t xml:space="preserve">AUTO No.  </w:t>
            </w:r>
          </w:p>
        </w:tc>
        <w:tc>
          <w:tcPr>
            <w:tcW w:w="7048" w:type="dxa"/>
            <w:tcBorders>
              <w:top w:val="single" w:sz="4" w:space="0" w:color="000000"/>
              <w:left w:val="single" w:sz="4" w:space="0" w:color="000000"/>
              <w:bottom w:val="single" w:sz="4" w:space="0" w:color="000000"/>
              <w:right w:val="single" w:sz="4" w:space="0" w:color="000000"/>
            </w:tcBorders>
            <w:shd w:val="clear" w:color="auto" w:fill="auto"/>
          </w:tcPr>
          <w:p w:rsidR="00D26F00" w:rsidRPr="00D44484" w:rsidRDefault="00D26F00" w:rsidP="009B5CAD">
            <w:pPr>
              <w:spacing w:line="276" w:lineRule="auto"/>
              <w:ind w:left="15"/>
              <w:rPr>
                <w:rFonts w:ascii="Arial Narrow" w:hAnsi="Arial Narrow" w:cs="Arial"/>
                <w:b/>
                <w:sz w:val="24"/>
                <w:szCs w:val="24"/>
              </w:rPr>
            </w:pPr>
            <w:r w:rsidRPr="00D44484">
              <w:rPr>
                <w:rFonts w:ascii="Arial Narrow" w:hAnsi="Arial Narrow" w:cs="Arial"/>
                <w:b/>
                <w:sz w:val="24"/>
                <w:szCs w:val="24"/>
              </w:rPr>
              <w:t xml:space="preserve">ORDENA APERTURA INDAGACIÓN PREVIA (ART. 208 C.G.D.) </w:t>
            </w:r>
          </w:p>
        </w:tc>
      </w:tr>
    </w:tbl>
    <w:p w:rsidR="00D26F00" w:rsidRDefault="00D26F00" w:rsidP="00D26F00">
      <w:pPr>
        <w:spacing w:after="0" w:line="240" w:lineRule="auto"/>
        <w:rPr>
          <w:rFonts w:ascii="Arial Narrow" w:hAnsi="Arial Narrow" w:cs="Arial"/>
          <w:b/>
          <w:sz w:val="24"/>
          <w:szCs w:val="24"/>
        </w:rPr>
      </w:pPr>
    </w:p>
    <w:p w:rsidR="004C10ED" w:rsidRDefault="004C10ED" w:rsidP="00D26F00">
      <w:pPr>
        <w:spacing w:after="0" w:line="240" w:lineRule="auto"/>
        <w:rPr>
          <w:rFonts w:ascii="Arial Narrow" w:hAnsi="Arial Narrow" w:cs="Arial"/>
          <w:b/>
          <w:sz w:val="24"/>
          <w:szCs w:val="24"/>
        </w:rPr>
      </w:pPr>
    </w:p>
    <w:p w:rsidR="00D26F00" w:rsidRPr="00D44484" w:rsidRDefault="00D26F00" w:rsidP="00D26F00">
      <w:pPr>
        <w:spacing w:after="0" w:line="240" w:lineRule="auto"/>
        <w:rPr>
          <w:rFonts w:ascii="Arial Narrow" w:hAnsi="Arial Narrow" w:cs="Arial"/>
          <w:sz w:val="24"/>
          <w:szCs w:val="24"/>
        </w:rPr>
      </w:pPr>
      <w:r w:rsidRPr="00D44484">
        <w:rPr>
          <w:rFonts w:ascii="Arial Narrow" w:hAnsi="Arial Narrow" w:cs="Arial"/>
          <w:sz w:val="24"/>
          <w:szCs w:val="24"/>
        </w:rPr>
        <w:t xml:space="preserve">Ibagué, </w:t>
      </w:r>
    </w:p>
    <w:p w:rsidR="00D26F00" w:rsidRPr="00D44484" w:rsidRDefault="00D26F00" w:rsidP="00D26F00">
      <w:pPr>
        <w:pStyle w:val="Prrafodelista"/>
        <w:numPr>
          <w:ilvl w:val="0"/>
          <w:numId w:val="2"/>
        </w:numPr>
        <w:ind w:left="0" w:firstLine="0"/>
        <w:jc w:val="center"/>
        <w:rPr>
          <w:rFonts w:ascii="Arial Narrow" w:hAnsi="Arial Narrow" w:cs="Arial"/>
          <w:b/>
        </w:rPr>
      </w:pPr>
      <w:r w:rsidRPr="00D44484">
        <w:rPr>
          <w:rFonts w:ascii="Arial Narrow" w:hAnsi="Arial Narrow" w:cs="Arial"/>
          <w:b/>
        </w:rPr>
        <w:t xml:space="preserve">ASUNTO </w:t>
      </w:r>
    </w:p>
    <w:p w:rsidR="00D26F00" w:rsidRPr="00D44484" w:rsidRDefault="00D26F00" w:rsidP="00D26F00">
      <w:pPr>
        <w:spacing w:after="0" w:line="240" w:lineRule="auto"/>
        <w:jc w:val="both"/>
        <w:rPr>
          <w:rFonts w:ascii="Arial Narrow" w:hAnsi="Arial Narrow" w:cs="Arial"/>
          <w:color w:val="000000"/>
          <w:sz w:val="24"/>
          <w:szCs w:val="24"/>
        </w:rPr>
      </w:pPr>
    </w:p>
    <w:p w:rsidR="00D26F00" w:rsidRPr="009E00B8" w:rsidRDefault="004C10ED" w:rsidP="00D26F00">
      <w:pPr>
        <w:spacing w:after="0" w:line="240" w:lineRule="auto"/>
        <w:jc w:val="both"/>
        <w:rPr>
          <w:rFonts w:ascii="Arial Narrow" w:hAnsi="Arial Narrow" w:cs="Arial"/>
          <w:color w:val="000000"/>
          <w:sz w:val="24"/>
          <w:szCs w:val="24"/>
        </w:rPr>
      </w:pPr>
      <w:r>
        <w:rPr>
          <w:rFonts w:ascii="Arial Narrow" w:hAnsi="Arial Narrow" w:cs="Arial"/>
          <w:color w:val="000000"/>
          <w:sz w:val="24"/>
          <w:szCs w:val="24"/>
        </w:rPr>
        <w:t>La Secretaria General de la Contraloría Departamental del Tolima, c</w:t>
      </w:r>
      <w:r w:rsidRPr="008F270F">
        <w:rPr>
          <w:rFonts w:ascii="Arial Narrow" w:hAnsi="Arial Narrow" w:cs="Arial"/>
          <w:color w:val="000000"/>
          <w:sz w:val="24"/>
          <w:szCs w:val="24"/>
        </w:rPr>
        <w:t xml:space="preserve">on fundamento en lo dispuesto </w:t>
      </w:r>
      <w:r>
        <w:rPr>
          <w:rFonts w:ascii="Arial Narrow" w:hAnsi="Arial Narrow" w:cs="Arial"/>
          <w:color w:val="000000"/>
          <w:sz w:val="24"/>
          <w:szCs w:val="24"/>
        </w:rPr>
        <w:t>en la resolución 511 del 9 de noviembre de 2022</w:t>
      </w:r>
      <w:r w:rsidR="0040348D">
        <w:rPr>
          <w:rFonts w:ascii="Arial Narrow" w:hAnsi="Arial Narrow" w:cs="Arial"/>
          <w:color w:val="000000"/>
          <w:sz w:val="24"/>
          <w:szCs w:val="24"/>
        </w:rPr>
        <w:t xml:space="preserve">, </w:t>
      </w:r>
      <w:r w:rsidR="00D26F00" w:rsidRPr="009E00B8">
        <w:rPr>
          <w:rFonts w:ascii="Arial Narrow" w:hAnsi="Arial Narrow" w:cs="Arial"/>
          <w:color w:val="000000"/>
          <w:sz w:val="24"/>
          <w:szCs w:val="24"/>
        </w:rPr>
        <w:t>de conformidad con lo previsto en el artículo 208 de la Ley 1952 de 2019 y con base en los siguientes:</w:t>
      </w:r>
    </w:p>
    <w:p w:rsidR="00D26F00" w:rsidRPr="00D44484" w:rsidRDefault="00D26F00" w:rsidP="00D26F00">
      <w:pPr>
        <w:spacing w:after="0" w:line="240" w:lineRule="auto"/>
        <w:jc w:val="both"/>
        <w:rPr>
          <w:rFonts w:ascii="Arial Narrow" w:hAnsi="Arial Narrow" w:cs="Arial"/>
          <w:color w:val="000000"/>
          <w:sz w:val="24"/>
          <w:szCs w:val="24"/>
        </w:rPr>
      </w:pPr>
    </w:p>
    <w:p w:rsidR="00D26F00" w:rsidRPr="000C1208" w:rsidRDefault="00D26F00" w:rsidP="00D26F00">
      <w:pPr>
        <w:spacing w:after="0" w:line="240" w:lineRule="auto"/>
        <w:jc w:val="center"/>
        <w:rPr>
          <w:rFonts w:ascii="Arial Narrow" w:hAnsi="Arial Narrow" w:cs="Arial"/>
          <w:b/>
          <w:color w:val="000000"/>
          <w:sz w:val="24"/>
          <w:szCs w:val="24"/>
        </w:rPr>
      </w:pPr>
      <w:r w:rsidRPr="00D44484">
        <w:rPr>
          <w:rFonts w:ascii="Arial Narrow" w:hAnsi="Arial Narrow" w:cs="Arial"/>
          <w:b/>
          <w:color w:val="000000"/>
          <w:sz w:val="24"/>
          <w:szCs w:val="24"/>
        </w:rPr>
        <w:t xml:space="preserve">II. ANTECEDENTES   </w:t>
      </w:r>
    </w:p>
    <w:p w:rsidR="00D26F00" w:rsidRPr="00556540" w:rsidRDefault="00D26F00" w:rsidP="00D26F00">
      <w:pPr>
        <w:spacing w:after="0" w:line="240" w:lineRule="auto"/>
        <w:jc w:val="both"/>
        <w:rPr>
          <w:rFonts w:ascii="Arial Narrow" w:hAnsi="Arial Narrow"/>
          <w:sz w:val="24"/>
          <w:szCs w:val="24"/>
        </w:rPr>
      </w:pPr>
    </w:p>
    <w:p w:rsidR="00D26F00" w:rsidRDefault="00D26F00" w:rsidP="0040348D">
      <w:pPr>
        <w:suppressAutoHyphens/>
        <w:autoSpaceDN w:val="0"/>
        <w:spacing w:after="0" w:line="240" w:lineRule="auto"/>
        <w:jc w:val="both"/>
        <w:textAlignment w:val="baseline"/>
        <w:rPr>
          <w:rFonts w:ascii="Arial Narrow" w:eastAsia="Times New Roman" w:hAnsi="Arial Narrow" w:cs="Arial"/>
          <w:sz w:val="24"/>
          <w:szCs w:val="24"/>
          <w:lang w:val="es-ES" w:eastAsia="es-ES"/>
        </w:rPr>
      </w:pPr>
      <w:r w:rsidRPr="009E00B8">
        <w:rPr>
          <w:rFonts w:ascii="Arial Narrow" w:hAnsi="Arial Narrow"/>
          <w:sz w:val="24"/>
          <w:szCs w:val="24"/>
        </w:rPr>
        <w:t>La presente investigación tiene origen en el</w:t>
      </w:r>
      <w:r w:rsidR="0040348D">
        <w:rPr>
          <w:rFonts w:ascii="Arial Narrow" w:hAnsi="Arial Narrow"/>
          <w:sz w:val="24"/>
          <w:szCs w:val="24"/>
        </w:rPr>
        <w:t xml:space="preserve"> informe de fecha 2 de octubre del año 2023</w:t>
      </w:r>
      <w:r w:rsidR="0040348D">
        <w:rPr>
          <w:rFonts w:ascii="Arial Narrow" w:eastAsia="Times New Roman" w:hAnsi="Arial Narrow" w:cs="Arial"/>
          <w:sz w:val="24"/>
          <w:szCs w:val="24"/>
          <w:lang w:val="es-ES" w:eastAsia="es-ES"/>
        </w:rPr>
        <w:t>, suscrito</w:t>
      </w:r>
      <w:r w:rsidR="00626EE3">
        <w:rPr>
          <w:rFonts w:ascii="Arial Narrow" w:eastAsia="Times New Roman" w:hAnsi="Arial Narrow" w:cs="Arial"/>
          <w:sz w:val="24"/>
          <w:szCs w:val="24"/>
          <w:lang w:val="es-ES" w:eastAsia="es-ES"/>
        </w:rPr>
        <w:t xml:space="preserve"> por la </w:t>
      </w:r>
      <w:proofErr w:type="spellStart"/>
      <w:r w:rsidR="00626EE3">
        <w:rPr>
          <w:rFonts w:ascii="Arial Narrow" w:eastAsia="Times New Roman" w:hAnsi="Arial Narrow" w:cs="Arial"/>
          <w:sz w:val="24"/>
          <w:szCs w:val="24"/>
          <w:lang w:val="es-ES" w:eastAsia="es-ES"/>
        </w:rPr>
        <w:t>Dra</w:t>
      </w:r>
      <w:proofErr w:type="spellEnd"/>
      <w:r w:rsidR="00626EE3">
        <w:rPr>
          <w:rFonts w:ascii="Arial Narrow" w:eastAsia="Times New Roman" w:hAnsi="Arial Narrow" w:cs="Arial"/>
          <w:sz w:val="24"/>
          <w:szCs w:val="24"/>
          <w:lang w:val="es-ES" w:eastAsia="es-ES"/>
        </w:rPr>
        <w:t xml:space="preserve"> Andrea Marcela Molina </w:t>
      </w:r>
      <w:proofErr w:type="spellStart"/>
      <w:r w:rsidR="00626EE3" w:rsidRPr="00626EE3">
        <w:rPr>
          <w:rFonts w:ascii="Arial Narrow" w:eastAsia="Times New Roman" w:hAnsi="Arial Narrow" w:cs="Arial"/>
          <w:sz w:val="24"/>
          <w:szCs w:val="24"/>
          <w:lang w:val="es-ES" w:eastAsia="es-ES"/>
        </w:rPr>
        <w:t>Aramendiz</w:t>
      </w:r>
      <w:proofErr w:type="spellEnd"/>
      <w:r w:rsidRPr="00626EE3">
        <w:rPr>
          <w:rFonts w:ascii="Arial Narrow" w:eastAsia="Times New Roman" w:hAnsi="Arial Narrow" w:cs="Arial"/>
          <w:sz w:val="24"/>
          <w:szCs w:val="24"/>
          <w:lang w:val="es-ES" w:eastAsia="es-ES"/>
        </w:rPr>
        <w:t>,</w:t>
      </w:r>
      <w:r w:rsidR="0040348D" w:rsidRPr="00626EE3">
        <w:rPr>
          <w:rFonts w:ascii="Arial Narrow" w:eastAsia="Times New Roman" w:hAnsi="Arial Narrow" w:cs="Arial"/>
          <w:sz w:val="24"/>
          <w:szCs w:val="24"/>
          <w:lang w:val="es-ES" w:eastAsia="es-ES"/>
        </w:rPr>
        <w:t xml:space="preserve"> en</w:t>
      </w:r>
      <w:r w:rsidR="0040348D">
        <w:rPr>
          <w:rFonts w:ascii="Arial Narrow" w:eastAsia="Times New Roman" w:hAnsi="Arial Narrow" w:cs="Arial"/>
          <w:sz w:val="24"/>
          <w:szCs w:val="24"/>
          <w:lang w:val="es-ES" w:eastAsia="es-ES"/>
        </w:rPr>
        <w:t xml:space="preserve"> su condición </w:t>
      </w:r>
      <w:r w:rsidR="00626EE3">
        <w:rPr>
          <w:rFonts w:ascii="Arial Narrow" w:eastAsia="Times New Roman" w:hAnsi="Arial Narrow" w:cs="Arial"/>
          <w:sz w:val="24"/>
          <w:szCs w:val="24"/>
          <w:lang w:val="es-ES" w:eastAsia="es-ES"/>
        </w:rPr>
        <w:t>Contralora Departamental del Tolima (E),</w:t>
      </w:r>
      <w:r w:rsidR="0040348D">
        <w:rPr>
          <w:rFonts w:ascii="Arial Narrow" w:eastAsia="Times New Roman" w:hAnsi="Arial Narrow" w:cs="Arial"/>
          <w:sz w:val="24"/>
          <w:szCs w:val="24"/>
          <w:lang w:val="es-ES" w:eastAsia="es-ES"/>
        </w:rPr>
        <w:t xml:space="preserve"> en el cual pone en conocimiento, los siguientes hechos: </w:t>
      </w:r>
    </w:p>
    <w:p w:rsidR="0040348D" w:rsidRDefault="0040348D" w:rsidP="0040348D">
      <w:pPr>
        <w:suppressAutoHyphens/>
        <w:autoSpaceDN w:val="0"/>
        <w:spacing w:after="0" w:line="240" w:lineRule="auto"/>
        <w:jc w:val="both"/>
        <w:textAlignment w:val="baseline"/>
        <w:rPr>
          <w:rFonts w:ascii="Arial Narrow" w:eastAsia="Times New Roman" w:hAnsi="Arial Narrow" w:cs="Arial"/>
          <w:sz w:val="24"/>
          <w:szCs w:val="24"/>
          <w:lang w:val="es-ES" w:eastAsia="es-ES"/>
        </w:rPr>
      </w:pPr>
    </w:p>
    <w:p w:rsidR="0040348D" w:rsidRDefault="0040348D" w:rsidP="0040348D">
      <w:pPr>
        <w:suppressAutoHyphens/>
        <w:autoSpaceDN w:val="0"/>
        <w:spacing w:after="0" w:line="240" w:lineRule="auto"/>
        <w:jc w:val="both"/>
        <w:textAlignment w:val="baseline"/>
        <w:rPr>
          <w:rFonts w:ascii="Arial Narrow" w:eastAsia="Times New Roman" w:hAnsi="Arial Narrow" w:cs="Arial"/>
          <w:sz w:val="24"/>
          <w:szCs w:val="24"/>
          <w:lang w:val="es-ES" w:eastAsia="es-ES"/>
        </w:rPr>
      </w:pPr>
      <w:r>
        <w:rPr>
          <w:rFonts w:ascii="Arial Narrow" w:eastAsia="Times New Roman" w:hAnsi="Arial Narrow" w:cs="Arial"/>
          <w:sz w:val="24"/>
          <w:szCs w:val="24"/>
          <w:lang w:val="es-ES" w:eastAsia="es-ES"/>
        </w:rPr>
        <w:t xml:space="preserve">“(…) 2. El día jueves 28 de septiembre aproximadamente hacia medio día, el </w:t>
      </w:r>
      <w:proofErr w:type="spellStart"/>
      <w:r>
        <w:rPr>
          <w:rFonts w:ascii="Arial Narrow" w:eastAsia="Times New Roman" w:hAnsi="Arial Narrow" w:cs="Arial"/>
          <w:sz w:val="24"/>
          <w:szCs w:val="24"/>
          <w:lang w:val="es-ES" w:eastAsia="es-ES"/>
        </w:rPr>
        <w:t>dr</w:t>
      </w:r>
      <w:proofErr w:type="spellEnd"/>
      <w:r>
        <w:rPr>
          <w:rFonts w:ascii="Arial Narrow" w:eastAsia="Times New Roman" w:hAnsi="Arial Narrow" w:cs="Arial"/>
          <w:sz w:val="24"/>
          <w:szCs w:val="24"/>
          <w:lang w:val="es-ES" w:eastAsia="es-ES"/>
        </w:rPr>
        <w:t xml:space="preserve"> Juan Carlos Pérez Secretario Administrativo y Financiero se acer</w:t>
      </w:r>
      <w:r w:rsidR="00626EE3">
        <w:rPr>
          <w:rFonts w:ascii="Arial Narrow" w:eastAsia="Times New Roman" w:hAnsi="Arial Narrow" w:cs="Arial"/>
          <w:sz w:val="24"/>
          <w:szCs w:val="24"/>
          <w:lang w:val="es-ES" w:eastAsia="es-ES"/>
        </w:rPr>
        <w:t>c</w:t>
      </w:r>
      <w:r>
        <w:rPr>
          <w:rFonts w:ascii="Arial Narrow" w:eastAsia="Times New Roman" w:hAnsi="Arial Narrow" w:cs="Arial"/>
          <w:sz w:val="24"/>
          <w:szCs w:val="24"/>
          <w:lang w:val="es-ES" w:eastAsia="es-ES"/>
        </w:rPr>
        <w:t>a a la oficina de la Contraloría Auxiliar con el ánimo de informarme que la póliza todo riesgo de los bienes de la entidad se encontraba vencida desde el día 26 de agosto de 2023, y que había agotado todos los medios posibles para poder cubrir estos días mientras se adelanta el proceso de contratación de la misma sin que se haya logrado un resultado positivo, por lo que se da inicio al proceso de invitación pública al mismo día 28 de septiembre con el fin de volver a adquirir la póliza  todos riesgo, proceso que está en curso a la fecha.”</w:t>
      </w:r>
    </w:p>
    <w:p w:rsidR="0040348D" w:rsidRDefault="0040348D" w:rsidP="0040348D">
      <w:pPr>
        <w:suppressAutoHyphens/>
        <w:autoSpaceDN w:val="0"/>
        <w:spacing w:after="0" w:line="240" w:lineRule="auto"/>
        <w:jc w:val="both"/>
        <w:textAlignment w:val="baseline"/>
        <w:rPr>
          <w:rFonts w:ascii="Arial Narrow" w:eastAsia="Times New Roman" w:hAnsi="Arial Narrow" w:cs="Arial"/>
          <w:sz w:val="24"/>
          <w:szCs w:val="24"/>
          <w:lang w:val="es-ES" w:eastAsia="es-ES"/>
        </w:rPr>
      </w:pPr>
    </w:p>
    <w:p w:rsidR="00D26F00" w:rsidRPr="00093768" w:rsidRDefault="00D26F00" w:rsidP="00D26F00">
      <w:pPr>
        <w:spacing w:after="0" w:line="240" w:lineRule="auto"/>
        <w:jc w:val="center"/>
        <w:rPr>
          <w:rFonts w:ascii="Arial Narrow" w:hAnsi="Arial Narrow" w:cs="Arial"/>
          <w:b/>
          <w:sz w:val="24"/>
          <w:szCs w:val="24"/>
        </w:rPr>
      </w:pPr>
      <w:r w:rsidRPr="00093768">
        <w:rPr>
          <w:rFonts w:ascii="Arial Narrow" w:hAnsi="Arial Narrow" w:cs="Arial"/>
          <w:b/>
          <w:sz w:val="24"/>
          <w:szCs w:val="24"/>
        </w:rPr>
        <w:t>III. CONSIDERACIONES DEL DESPACHO</w:t>
      </w:r>
    </w:p>
    <w:p w:rsidR="00D26F00" w:rsidRPr="00093768" w:rsidRDefault="00D26F00" w:rsidP="00D26F00">
      <w:pPr>
        <w:pStyle w:val="Textonotapie"/>
        <w:jc w:val="both"/>
        <w:rPr>
          <w:rFonts w:ascii="Arial Narrow" w:hAnsi="Arial Narrow" w:cs="Arial"/>
          <w:sz w:val="24"/>
          <w:szCs w:val="24"/>
        </w:rPr>
      </w:pPr>
    </w:p>
    <w:p w:rsidR="0040348D" w:rsidRDefault="00D26F00" w:rsidP="00D26F00">
      <w:pPr>
        <w:spacing w:after="0" w:line="240" w:lineRule="auto"/>
        <w:jc w:val="both"/>
        <w:rPr>
          <w:rFonts w:ascii="Arial Narrow" w:hAnsi="Arial Narrow"/>
          <w:sz w:val="24"/>
          <w:szCs w:val="24"/>
        </w:rPr>
      </w:pPr>
      <w:r>
        <w:rPr>
          <w:rFonts w:ascii="Arial Narrow" w:hAnsi="Arial Narrow" w:cs="Arial"/>
          <w:sz w:val="24"/>
          <w:szCs w:val="24"/>
        </w:rPr>
        <w:lastRenderedPageBreak/>
        <w:t>De acuerdo a lo anterior y c</w:t>
      </w:r>
      <w:r w:rsidRPr="00D44484">
        <w:rPr>
          <w:rFonts w:ascii="Arial Narrow" w:hAnsi="Arial Narrow" w:cs="Arial"/>
          <w:sz w:val="24"/>
          <w:szCs w:val="24"/>
        </w:rPr>
        <w:t xml:space="preserve">on fundamento a los supuestos facticos de presunta relevancia disciplinaria puestos en conocimiento, </w:t>
      </w:r>
      <w:r w:rsidRPr="00607459">
        <w:rPr>
          <w:rFonts w:ascii="Arial Narrow" w:hAnsi="Arial Narrow"/>
          <w:sz w:val="24"/>
          <w:szCs w:val="24"/>
        </w:rPr>
        <w:t xml:space="preserve">relacionados </w:t>
      </w:r>
      <w:r w:rsidRPr="00400578">
        <w:rPr>
          <w:rFonts w:ascii="Arial Narrow" w:hAnsi="Arial Narrow"/>
          <w:sz w:val="24"/>
          <w:szCs w:val="24"/>
        </w:rPr>
        <w:t xml:space="preserve">con la </w:t>
      </w:r>
      <w:r>
        <w:rPr>
          <w:rFonts w:ascii="Arial Narrow" w:hAnsi="Arial Narrow"/>
          <w:sz w:val="24"/>
          <w:szCs w:val="24"/>
        </w:rPr>
        <w:t>p</w:t>
      </w:r>
      <w:r w:rsidRPr="00400578">
        <w:rPr>
          <w:rFonts w:ascii="Arial Narrow" w:hAnsi="Arial Narrow"/>
          <w:sz w:val="24"/>
          <w:szCs w:val="24"/>
        </w:rPr>
        <w:t xml:space="preserve">resunta omisión </w:t>
      </w:r>
      <w:r w:rsidR="0040348D" w:rsidRPr="0040348D">
        <w:rPr>
          <w:rFonts w:ascii="Arial Narrow" w:hAnsi="Arial Narrow"/>
          <w:sz w:val="24"/>
          <w:szCs w:val="24"/>
        </w:rPr>
        <w:t>en la adqui</w:t>
      </w:r>
      <w:r w:rsidR="0040348D">
        <w:rPr>
          <w:rFonts w:ascii="Arial Narrow" w:hAnsi="Arial Narrow"/>
          <w:sz w:val="24"/>
          <w:szCs w:val="24"/>
        </w:rPr>
        <w:t>si</w:t>
      </w:r>
      <w:r w:rsidR="0040348D" w:rsidRPr="0040348D">
        <w:rPr>
          <w:rFonts w:ascii="Arial Narrow" w:hAnsi="Arial Narrow"/>
          <w:sz w:val="24"/>
          <w:szCs w:val="24"/>
        </w:rPr>
        <w:t xml:space="preserve">ción de pólizas de seguros que amparan los bienes muebles, inmuebles e intereses patrimoniales de la </w:t>
      </w:r>
      <w:r w:rsidR="0040348D">
        <w:rPr>
          <w:rFonts w:ascii="Arial Narrow" w:hAnsi="Arial Narrow"/>
          <w:sz w:val="24"/>
          <w:szCs w:val="24"/>
        </w:rPr>
        <w:t>C</w:t>
      </w:r>
      <w:r w:rsidR="0040348D" w:rsidRPr="0040348D">
        <w:rPr>
          <w:rFonts w:ascii="Arial Narrow" w:hAnsi="Arial Narrow"/>
          <w:sz w:val="24"/>
          <w:szCs w:val="24"/>
        </w:rPr>
        <w:t>ontraloría</w:t>
      </w:r>
      <w:r w:rsidR="0040348D">
        <w:rPr>
          <w:rFonts w:ascii="Arial Narrow" w:hAnsi="Arial Narrow"/>
          <w:sz w:val="24"/>
          <w:szCs w:val="24"/>
        </w:rPr>
        <w:t xml:space="preserve"> Departamental del T</w:t>
      </w:r>
      <w:r w:rsidR="0040348D" w:rsidRPr="0040348D">
        <w:rPr>
          <w:rFonts w:ascii="Arial Narrow" w:hAnsi="Arial Narrow"/>
          <w:sz w:val="24"/>
          <w:szCs w:val="24"/>
        </w:rPr>
        <w:t>olima</w:t>
      </w:r>
      <w:r w:rsidR="0040348D">
        <w:rPr>
          <w:rFonts w:ascii="Arial Narrow" w:hAnsi="Arial Narrow"/>
          <w:sz w:val="24"/>
          <w:szCs w:val="24"/>
        </w:rPr>
        <w:t>.</w:t>
      </w:r>
    </w:p>
    <w:p w:rsidR="00D26F00" w:rsidRPr="0040348D" w:rsidRDefault="0040348D" w:rsidP="0040348D">
      <w:pPr>
        <w:spacing w:after="0" w:line="240" w:lineRule="auto"/>
        <w:jc w:val="both"/>
        <w:rPr>
          <w:rFonts w:ascii="Arial Narrow" w:hAnsi="Arial Narrow" w:cs="Arial"/>
          <w:color w:val="000000" w:themeColor="text1"/>
          <w:sz w:val="24"/>
          <w:szCs w:val="24"/>
        </w:rPr>
      </w:pPr>
      <w:r w:rsidRPr="0040348D">
        <w:rPr>
          <w:rFonts w:ascii="Arial Narrow" w:eastAsia="Times New Roman" w:hAnsi="Arial Narrow" w:cs="Arial"/>
          <w:sz w:val="24"/>
          <w:szCs w:val="24"/>
          <w:lang w:val="es-ES" w:eastAsia="es-ES"/>
        </w:rPr>
        <w:t xml:space="preserve"> </w:t>
      </w:r>
    </w:p>
    <w:p w:rsidR="0040348D" w:rsidRDefault="00D26F00" w:rsidP="0040348D">
      <w:pPr>
        <w:spacing w:after="0" w:line="240" w:lineRule="auto"/>
        <w:jc w:val="both"/>
        <w:rPr>
          <w:rFonts w:ascii="Arial Narrow" w:hAnsi="Arial Narrow" w:cs="Arial"/>
          <w:color w:val="000000" w:themeColor="text1"/>
          <w:sz w:val="24"/>
          <w:szCs w:val="24"/>
        </w:rPr>
      </w:pPr>
      <w:r w:rsidRPr="00D44484">
        <w:rPr>
          <w:rFonts w:ascii="Arial Narrow" w:hAnsi="Arial Narrow" w:cs="Arial"/>
          <w:color w:val="000000" w:themeColor="text1"/>
          <w:sz w:val="24"/>
          <w:szCs w:val="24"/>
        </w:rPr>
        <w:t>El artículo 208 de la Ley 1952 de 2019, sobre la procedencia, objetivo y duración de la indagación previa, establece:</w:t>
      </w:r>
      <w:bookmarkStart w:id="1" w:name="150"/>
    </w:p>
    <w:p w:rsidR="00D26F00" w:rsidRPr="00D44484" w:rsidRDefault="00D26F00" w:rsidP="0040348D">
      <w:pPr>
        <w:spacing w:after="0" w:line="240" w:lineRule="auto"/>
        <w:jc w:val="both"/>
        <w:rPr>
          <w:rFonts w:ascii="Arial Narrow" w:eastAsia="Times New Roman" w:hAnsi="Arial Narrow" w:cs="Arial"/>
          <w:i/>
          <w:color w:val="000000" w:themeColor="text1"/>
          <w:sz w:val="24"/>
          <w:szCs w:val="24"/>
          <w:lang w:eastAsia="es-CO"/>
        </w:rPr>
      </w:pPr>
      <w:r w:rsidRPr="00D44484">
        <w:rPr>
          <w:rFonts w:ascii="Arial Narrow" w:eastAsia="Times New Roman" w:hAnsi="Arial Narrow" w:cs="Arial"/>
          <w:b/>
          <w:bCs/>
          <w:i/>
          <w:color w:val="000000" w:themeColor="text1"/>
          <w:sz w:val="24"/>
          <w:szCs w:val="24"/>
          <w:lang w:eastAsia="es-CO"/>
        </w:rPr>
        <w:t>ARTÍCULO</w:t>
      </w:r>
      <w:bookmarkStart w:id="2" w:name="208"/>
      <w:bookmarkEnd w:id="2"/>
      <w:r w:rsidRPr="00D44484">
        <w:rPr>
          <w:rFonts w:ascii="Arial Narrow" w:eastAsia="Times New Roman" w:hAnsi="Arial Narrow" w:cs="Arial"/>
          <w:b/>
          <w:bCs/>
          <w:i/>
          <w:color w:val="000000" w:themeColor="text1"/>
          <w:sz w:val="24"/>
          <w:szCs w:val="24"/>
          <w:lang w:eastAsia="es-CO"/>
        </w:rPr>
        <w:t>  208:</w:t>
      </w:r>
      <w:r w:rsidRPr="00D44484">
        <w:rPr>
          <w:rFonts w:ascii="Arial Narrow" w:eastAsia="Times New Roman" w:hAnsi="Arial Narrow" w:cs="Arial"/>
          <w:i/>
          <w:color w:val="000000" w:themeColor="text1"/>
          <w:sz w:val="24"/>
          <w:szCs w:val="24"/>
          <w:lang w:eastAsia="es-CO"/>
        </w:rPr>
        <w:t> </w:t>
      </w:r>
      <w:r w:rsidRPr="00D44484">
        <w:rPr>
          <w:rFonts w:ascii="Arial Narrow" w:eastAsia="Times New Roman" w:hAnsi="Arial Narrow" w:cs="Arial"/>
          <w:b/>
          <w:bCs/>
          <w:i/>
          <w:color w:val="000000" w:themeColor="text1"/>
          <w:sz w:val="24"/>
          <w:szCs w:val="24"/>
          <w:lang w:eastAsia="es-CO"/>
        </w:rPr>
        <w:t>Procedencia, objetivo y trámite de la indagación previa.</w:t>
      </w:r>
      <w:r w:rsidRPr="00D44484">
        <w:rPr>
          <w:rFonts w:ascii="Arial Narrow" w:eastAsia="Times New Roman" w:hAnsi="Arial Narrow" w:cs="Arial"/>
          <w:i/>
          <w:color w:val="000000" w:themeColor="text1"/>
          <w:sz w:val="24"/>
          <w:szCs w:val="24"/>
          <w:lang w:eastAsia="es-CO"/>
        </w:rPr>
        <w:t> En caso de duda sobre la identificación o individualización del posible autor de una falta disciplinaria, se adelantará indagación previa.</w:t>
      </w:r>
    </w:p>
    <w:p w:rsidR="0040348D" w:rsidRDefault="0040348D" w:rsidP="0040348D">
      <w:pPr>
        <w:shd w:val="clear" w:color="auto" w:fill="FFFFFF"/>
        <w:spacing w:after="0" w:line="240" w:lineRule="auto"/>
        <w:jc w:val="both"/>
        <w:rPr>
          <w:rFonts w:ascii="Arial Narrow" w:eastAsia="Times New Roman" w:hAnsi="Arial Narrow" w:cs="Arial"/>
          <w:i/>
          <w:color w:val="000000" w:themeColor="text1"/>
          <w:sz w:val="24"/>
          <w:szCs w:val="24"/>
          <w:lang w:eastAsia="es-CO"/>
        </w:rPr>
      </w:pPr>
    </w:p>
    <w:p w:rsidR="00D26F00" w:rsidRDefault="00D26F00" w:rsidP="0040348D">
      <w:pPr>
        <w:shd w:val="clear" w:color="auto" w:fill="FFFFFF"/>
        <w:spacing w:after="0" w:line="240" w:lineRule="auto"/>
        <w:jc w:val="both"/>
        <w:rPr>
          <w:rFonts w:ascii="Arial Narrow" w:eastAsia="Times New Roman" w:hAnsi="Arial Narrow" w:cs="Arial"/>
          <w:i/>
          <w:color w:val="000000" w:themeColor="text1"/>
          <w:sz w:val="24"/>
          <w:szCs w:val="24"/>
          <w:lang w:eastAsia="es-CO"/>
        </w:rPr>
      </w:pPr>
      <w:r w:rsidRPr="00D44484">
        <w:rPr>
          <w:rFonts w:ascii="Arial Narrow" w:eastAsia="Times New Roman" w:hAnsi="Arial Narrow" w:cs="Arial"/>
          <w:i/>
          <w:color w:val="000000" w:themeColor="text1"/>
          <w:sz w:val="24"/>
          <w:szCs w:val="24"/>
          <w:lang w:eastAsia="es-CO"/>
        </w:rPr>
        <w:t>La indagación previa tendrá una duración de seis (6) meses y culminará con el archivo definitivo o auto de apertura de investigación. Cuando se trate de investigaciones por violación a los Derechos Humanos o al Derecho Internacional Humanitario, el término de indagación previa podrá extenderse a otros seis (6) meses.</w:t>
      </w:r>
    </w:p>
    <w:p w:rsidR="0040348D" w:rsidRPr="00D44484" w:rsidRDefault="0040348D" w:rsidP="0040348D">
      <w:pPr>
        <w:shd w:val="clear" w:color="auto" w:fill="FFFFFF"/>
        <w:spacing w:after="0" w:line="240" w:lineRule="auto"/>
        <w:jc w:val="both"/>
        <w:rPr>
          <w:rFonts w:ascii="Arial Narrow" w:eastAsia="Times New Roman" w:hAnsi="Arial Narrow" w:cs="Arial"/>
          <w:i/>
          <w:color w:val="000000" w:themeColor="text1"/>
          <w:sz w:val="24"/>
          <w:szCs w:val="24"/>
          <w:lang w:eastAsia="es-CO"/>
        </w:rPr>
      </w:pPr>
    </w:p>
    <w:p w:rsidR="00D26F00" w:rsidRPr="00D44484" w:rsidRDefault="00D26F00" w:rsidP="0040348D">
      <w:pPr>
        <w:shd w:val="clear" w:color="auto" w:fill="FFFFFF"/>
        <w:spacing w:after="0" w:line="240" w:lineRule="auto"/>
        <w:jc w:val="both"/>
        <w:rPr>
          <w:rFonts w:ascii="Arial Narrow" w:eastAsia="Times New Roman" w:hAnsi="Arial Narrow" w:cs="Arial"/>
          <w:i/>
          <w:color w:val="000000" w:themeColor="text1"/>
          <w:sz w:val="24"/>
          <w:szCs w:val="24"/>
          <w:lang w:eastAsia="es-CO"/>
        </w:rPr>
      </w:pPr>
      <w:r w:rsidRPr="00D44484">
        <w:rPr>
          <w:rFonts w:ascii="Arial Narrow" w:eastAsia="Times New Roman" w:hAnsi="Arial Narrow" w:cs="Arial"/>
          <w:i/>
          <w:color w:val="000000" w:themeColor="text1"/>
          <w:sz w:val="24"/>
          <w:szCs w:val="24"/>
          <w:lang w:eastAsia="es-CO"/>
        </w:rPr>
        <w:t>Para el adelantamiento de la indagación, el funcionario competente hará uso de los medios de prueba legalmente reconocidos. Cuando a la actuación se allegue medio probatorio que permita identificar al presunto autor, inmediatamente se deberá emitir la decisión de apertura de investigación.</w:t>
      </w:r>
    </w:p>
    <w:p w:rsidR="0040348D" w:rsidRDefault="0040348D" w:rsidP="0040348D">
      <w:pPr>
        <w:shd w:val="clear" w:color="auto" w:fill="FFFFFF"/>
        <w:spacing w:after="0" w:line="240" w:lineRule="auto"/>
        <w:jc w:val="both"/>
        <w:rPr>
          <w:rFonts w:ascii="Arial Narrow" w:eastAsia="Times New Roman" w:hAnsi="Arial Narrow" w:cs="Arial"/>
          <w:b/>
          <w:bCs/>
          <w:i/>
          <w:color w:val="000000" w:themeColor="text1"/>
          <w:sz w:val="24"/>
          <w:szCs w:val="24"/>
          <w:lang w:eastAsia="es-CO"/>
        </w:rPr>
      </w:pPr>
    </w:p>
    <w:p w:rsidR="00D26F00" w:rsidRPr="00D44484" w:rsidRDefault="00D26F00" w:rsidP="0040348D">
      <w:pPr>
        <w:shd w:val="clear" w:color="auto" w:fill="FFFFFF"/>
        <w:spacing w:after="0" w:line="240" w:lineRule="auto"/>
        <w:jc w:val="both"/>
        <w:rPr>
          <w:rFonts w:ascii="Arial Narrow" w:eastAsia="Times New Roman" w:hAnsi="Arial Narrow" w:cs="Arial"/>
          <w:i/>
          <w:color w:val="000000" w:themeColor="text1"/>
          <w:sz w:val="24"/>
          <w:szCs w:val="24"/>
          <w:lang w:eastAsia="es-CO"/>
        </w:rPr>
      </w:pPr>
      <w:r w:rsidRPr="00D44484">
        <w:rPr>
          <w:rFonts w:ascii="Arial Narrow" w:eastAsia="Times New Roman" w:hAnsi="Arial Narrow" w:cs="Arial"/>
          <w:b/>
          <w:bCs/>
          <w:i/>
          <w:color w:val="000000" w:themeColor="text1"/>
          <w:sz w:val="24"/>
          <w:szCs w:val="24"/>
          <w:lang w:eastAsia="es-CO"/>
        </w:rPr>
        <w:t>PARÁGRAFO</w:t>
      </w:r>
      <w:bookmarkStart w:id="3" w:name="208.p"/>
      <w:bookmarkEnd w:id="3"/>
      <w:r w:rsidRPr="00D44484">
        <w:rPr>
          <w:rFonts w:ascii="Arial Narrow" w:eastAsia="Times New Roman" w:hAnsi="Arial Narrow" w:cs="Arial"/>
          <w:b/>
          <w:bCs/>
          <w:i/>
          <w:color w:val="000000" w:themeColor="text1"/>
          <w:sz w:val="24"/>
          <w:szCs w:val="24"/>
          <w:lang w:eastAsia="es-CO"/>
        </w:rPr>
        <w:t>.</w:t>
      </w:r>
      <w:r w:rsidRPr="00D44484">
        <w:rPr>
          <w:rFonts w:ascii="Arial Narrow" w:eastAsia="Times New Roman" w:hAnsi="Arial Narrow" w:cs="Arial"/>
          <w:i/>
          <w:color w:val="000000" w:themeColor="text1"/>
          <w:sz w:val="24"/>
          <w:szCs w:val="24"/>
          <w:lang w:eastAsia="es-CO"/>
        </w:rPr>
        <w:t> Si en desarrollo de la indagación previa no se logra identificar o individualizar al posible autor o se determine que no procede la investigación disciplinaria, se ordenará su archivo. Esta decisión no hará tránsito a cosa juzgada material.</w:t>
      </w:r>
    </w:p>
    <w:bookmarkEnd w:id="1"/>
    <w:p w:rsidR="0040348D" w:rsidRDefault="0040348D" w:rsidP="00D26F00">
      <w:pPr>
        <w:spacing w:after="0" w:line="240" w:lineRule="auto"/>
        <w:jc w:val="both"/>
        <w:rPr>
          <w:rFonts w:ascii="Arial Narrow" w:eastAsia="Times New Roman" w:hAnsi="Arial Narrow" w:cs="Arial"/>
          <w:sz w:val="24"/>
          <w:szCs w:val="24"/>
          <w:lang w:val="es-ES" w:eastAsia="es-CO"/>
        </w:rPr>
      </w:pPr>
    </w:p>
    <w:p w:rsidR="00D26F00" w:rsidRPr="00D44484" w:rsidRDefault="00D26F00" w:rsidP="00D26F00">
      <w:pPr>
        <w:spacing w:after="0" w:line="240" w:lineRule="auto"/>
        <w:jc w:val="both"/>
        <w:rPr>
          <w:rFonts w:ascii="Arial Narrow" w:eastAsia="Times New Roman" w:hAnsi="Arial Narrow" w:cs="Arial"/>
          <w:sz w:val="24"/>
          <w:szCs w:val="24"/>
          <w:lang w:val="es-ES" w:eastAsia="es-CO"/>
        </w:rPr>
      </w:pPr>
      <w:r w:rsidRPr="00D44484">
        <w:rPr>
          <w:rFonts w:ascii="Arial Narrow" w:eastAsia="Times New Roman" w:hAnsi="Arial Narrow" w:cs="Arial"/>
          <w:sz w:val="24"/>
          <w:szCs w:val="24"/>
          <w:lang w:val="es-ES" w:eastAsia="es-CO"/>
        </w:rPr>
        <w:t>De la lectura de la información aportada, permite advertir a este despacho, que en el presente caso se reúnen a satisfacción las exigencias que la ley disciplinaria reclama para proceder a la apertura de indagación previa EN AVERIGUACIÓN DE RESPONSABLES, con miras a verificar fines verificar la ocurrencia de la conducta, determinar si es constitutiva de falta disciplinaria o si se ha actuado al amparo de una causal de exclusión de la responsabilidad.</w:t>
      </w:r>
    </w:p>
    <w:p w:rsidR="00D26F00" w:rsidRPr="00D44484" w:rsidRDefault="00D26F00" w:rsidP="00D26F00">
      <w:pPr>
        <w:pStyle w:val="NormalWeb"/>
        <w:spacing w:before="0" w:beforeAutospacing="0" w:after="0" w:afterAutospacing="0"/>
        <w:jc w:val="both"/>
        <w:rPr>
          <w:rFonts w:ascii="Arial Narrow" w:eastAsia="Calibri" w:hAnsi="Arial Narrow" w:cs="Arial"/>
          <w:bCs/>
          <w:lang w:eastAsia="es-ES_tradnl"/>
        </w:rPr>
      </w:pPr>
    </w:p>
    <w:p w:rsidR="00D26F00" w:rsidRPr="00D44484" w:rsidRDefault="00D26F00" w:rsidP="00D26F00">
      <w:pPr>
        <w:spacing w:after="0" w:line="240" w:lineRule="auto"/>
        <w:jc w:val="both"/>
        <w:rPr>
          <w:rFonts w:ascii="Arial Narrow" w:eastAsia="Times New Roman" w:hAnsi="Arial Narrow" w:cs="Arial"/>
          <w:b/>
          <w:bCs/>
          <w:kern w:val="36"/>
          <w:sz w:val="24"/>
          <w:szCs w:val="24"/>
          <w:lang w:val="es-ES_tradnl" w:eastAsia="es-ES_tradnl"/>
        </w:rPr>
      </w:pPr>
      <w:r w:rsidRPr="00D44484">
        <w:rPr>
          <w:rFonts w:ascii="Arial Narrow" w:eastAsia="Calibri" w:hAnsi="Arial Narrow" w:cs="Arial"/>
          <w:bCs/>
          <w:sz w:val="24"/>
          <w:szCs w:val="24"/>
          <w:lang w:eastAsia="es-ES_tradnl"/>
        </w:rPr>
        <w:t xml:space="preserve">En mérito de lo expuesto, </w:t>
      </w:r>
      <w:r w:rsidR="0040348D">
        <w:rPr>
          <w:rFonts w:ascii="Arial Narrow" w:eastAsia="Calibri" w:hAnsi="Arial Narrow" w:cs="Arial"/>
          <w:bCs/>
          <w:sz w:val="24"/>
          <w:szCs w:val="24"/>
          <w:lang w:eastAsia="es-ES_tradnl"/>
        </w:rPr>
        <w:t>la Secretaria General de la Contraloría Departamental del Tolima</w:t>
      </w:r>
      <w:r w:rsidRPr="00D44484">
        <w:rPr>
          <w:rFonts w:ascii="Arial Narrow" w:eastAsia="Calibri" w:hAnsi="Arial Narrow" w:cs="Arial"/>
          <w:bCs/>
          <w:sz w:val="24"/>
          <w:szCs w:val="24"/>
          <w:lang w:eastAsia="es-ES_tradnl"/>
        </w:rPr>
        <w:t xml:space="preserve">, en uso de sus facultades legales, en especial, las conferidas </w:t>
      </w:r>
      <w:r w:rsidR="0040348D">
        <w:rPr>
          <w:rFonts w:ascii="Arial Narrow" w:hAnsi="Arial Narrow" w:cs="Arial"/>
          <w:color w:val="000000"/>
          <w:sz w:val="24"/>
          <w:szCs w:val="24"/>
        </w:rPr>
        <w:t xml:space="preserve">en la resolución 511 del 9 de noviembre de 2022, </w:t>
      </w:r>
      <w:r w:rsidR="0040348D" w:rsidRPr="009E00B8">
        <w:rPr>
          <w:rFonts w:ascii="Arial Narrow" w:hAnsi="Arial Narrow" w:cs="Arial"/>
          <w:color w:val="000000"/>
          <w:sz w:val="24"/>
          <w:szCs w:val="24"/>
        </w:rPr>
        <w:t>de conformidad con lo previsto en el artículo 208 de la Ley 1952 de 2019</w:t>
      </w:r>
      <w:r w:rsidRPr="00D44484">
        <w:rPr>
          <w:rFonts w:ascii="Arial Narrow" w:eastAsia="Calibri" w:hAnsi="Arial Narrow" w:cs="Arial"/>
          <w:bCs/>
          <w:sz w:val="24"/>
          <w:szCs w:val="24"/>
          <w:lang w:eastAsia="es-ES_tradnl"/>
        </w:rPr>
        <w:t xml:space="preserve">, </w:t>
      </w:r>
      <w:r w:rsidRPr="00D44484">
        <w:rPr>
          <w:rFonts w:ascii="Arial Narrow" w:eastAsia="Times New Roman" w:hAnsi="Arial Narrow" w:cs="Arial"/>
          <w:b/>
          <w:bCs/>
          <w:kern w:val="36"/>
          <w:sz w:val="24"/>
          <w:szCs w:val="24"/>
          <w:lang w:eastAsia="es-ES_tradnl"/>
        </w:rPr>
        <w:t xml:space="preserve"> </w:t>
      </w:r>
    </w:p>
    <w:p w:rsidR="00D26F00" w:rsidRPr="00D44484" w:rsidRDefault="00D26F00" w:rsidP="00D26F00">
      <w:pPr>
        <w:spacing w:after="0" w:line="240" w:lineRule="auto"/>
        <w:jc w:val="center"/>
        <w:rPr>
          <w:rFonts w:ascii="Arial Narrow" w:hAnsi="Arial Narrow" w:cs="Arial"/>
          <w:b/>
          <w:color w:val="000000"/>
          <w:sz w:val="24"/>
          <w:szCs w:val="24"/>
        </w:rPr>
      </w:pPr>
    </w:p>
    <w:p w:rsidR="00D26F00" w:rsidRPr="00D44484" w:rsidRDefault="00D26F00" w:rsidP="00D26F00">
      <w:pPr>
        <w:spacing w:after="0" w:line="240" w:lineRule="auto"/>
        <w:jc w:val="center"/>
        <w:rPr>
          <w:rFonts w:ascii="Arial Narrow" w:hAnsi="Arial Narrow" w:cs="Arial"/>
          <w:b/>
          <w:color w:val="000000"/>
          <w:sz w:val="24"/>
          <w:szCs w:val="24"/>
        </w:rPr>
      </w:pPr>
      <w:r w:rsidRPr="00D44484">
        <w:rPr>
          <w:rFonts w:ascii="Arial Narrow" w:hAnsi="Arial Narrow" w:cs="Arial"/>
          <w:b/>
          <w:color w:val="000000"/>
          <w:sz w:val="24"/>
          <w:szCs w:val="24"/>
        </w:rPr>
        <w:t>RESUELVE:</w:t>
      </w:r>
    </w:p>
    <w:p w:rsidR="00D26F00" w:rsidRPr="00D44484" w:rsidRDefault="00D26F00" w:rsidP="00D26F00">
      <w:pPr>
        <w:spacing w:after="0" w:line="240" w:lineRule="auto"/>
        <w:jc w:val="center"/>
        <w:rPr>
          <w:rFonts w:ascii="Arial Narrow" w:hAnsi="Arial Narrow" w:cs="Arial"/>
          <w:b/>
          <w:color w:val="000000"/>
          <w:sz w:val="24"/>
          <w:szCs w:val="24"/>
        </w:rPr>
      </w:pPr>
    </w:p>
    <w:p w:rsidR="00D26F00" w:rsidRPr="00D44484" w:rsidRDefault="00D26F00" w:rsidP="00D26F00">
      <w:pPr>
        <w:spacing w:after="0" w:line="240" w:lineRule="auto"/>
        <w:jc w:val="both"/>
        <w:rPr>
          <w:rFonts w:ascii="Arial Narrow" w:hAnsi="Arial Narrow"/>
          <w:sz w:val="24"/>
          <w:szCs w:val="24"/>
        </w:rPr>
      </w:pPr>
      <w:r w:rsidRPr="00D44484">
        <w:rPr>
          <w:rFonts w:ascii="Arial Narrow" w:hAnsi="Arial Narrow" w:cs="Arial"/>
          <w:b/>
          <w:color w:val="000000"/>
          <w:sz w:val="24"/>
          <w:szCs w:val="24"/>
        </w:rPr>
        <w:t>PRIMERO</w:t>
      </w:r>
      <w:r w:rsidRPr="00D44484">
        <w:rPr>
          <w:rFonts w:ascii="Arial Narrow" w:hAnsi="Arial Narrow" w:cs="Arial"/>
          <w:color w:val="000000"/>
          <w:sz w:val="24"/>
          <w:szCs w:val="24"/>
        </w:rPr>
        <w:t xml:space="preserve">: </w:t>
      </w:r>
      <w:r w:rsidRPr="00D44484">
        <w:rPr>
          <w:rFonts w:ascii="Arial Narrow" w:hAnsi="Arial Narrow"/>
          <w:sz w:val="24"/>
          <w:szCs w:val="24"/>
        </w:rPr>
        <w:t xml:space="preserve">Ordenar iniciar </w:t>
      </w:r>
      <w:r w:rsidRPr="00D44484">
        <w:rPr>
          <w:rFonts w:ascii="Arial Narrow" w:hAnsi="Arial Narrow"/>
          <w:b/>
          <w:sz w:val="24"/>
          <w:szCs w:val="24"/>
        </w:rPr>
        <w:t xml:space="preserve">INDAGACIÓN PREVIA </w:t>
      </w:r>
      <w:r w:rsidRPr="00D44484">
        <w:rPr>
          <w:rFonts w:ascii="Arial Narrow" w:hAnsi="Arial Narrow"/>
          <w:sz w:val="24"/>
          <w:szCs w:val="24"/>
        </w:rPr>
        <w:t xml:space="preserve">en los términos del artículo 208 de la Ley 1952 de 2019, </w:t>
      </w:r>
      <w:r w:rsidRPr="00D44484">
        <w:rPr>
          <w:rFonts w:ascii="Arial Narrow" w:hAnsi="Arial Narrow" w:cs="Arial"/>
          <w:sz w:val="24"/>
          <w:szCs w:val="24"/>
          <w:lang w:eastAsia="es-ES_tradnl"/>
        </w:rPr>
        <w:t>en Averiguación de Responsables</w:t>
      </w:r>
      <w:r w:rsidRPr="00D44484">
        <w:rPr>
          <w:rFonts w:ascii="Arial Narrow" w:hAnsi="Arial Narrow"/>
          <w:sz w:val="24"/>
          <w:szCs w:val="24"/>
          <w:lang w:eastAsia="es-ES_tradnl"/>
        </w:rPr>
        <w:t xml:space="preserve">, </w:t>
      </w:r>
      <w:r w:rsidRPr="00D44484">
        <w:rPr>
          <w:rFonts w:ascii="Arial Narrow" w:hAnsi="Arial Narrow"/>
          <w:sz w:val="24"/>
          <w:szCs w:val="24"/>
        </w:rPr>
        <w:t>de conformidad con lo expuesto e</w:t>
      </w:r>
      <w:r>
        <w:rPr>
          <w:rFonts w:ascii="Arial Narrow" w:hAnsi="Arial Narrow"/>
          <w:sz w:val="24"/>
          <w:szCs w:val="24"/>
        </w:rPr>
        <w:t>n la parte motiva del presente a</w:t>
      </w:r>
      <w:r w:rsidRPr="00D44484">
        <w:rPr>
          <w:rFonts w:ascii="Arial Narrow" w:hAnsi="Arial Narrow"/>
          <w:sz w:val="24"/>
          <w:szCs w:val="24"/>
        </w:rPr>
        <w:t>uto.</w:t>
      </w:r>
    </w:p>
    <w:p w:rsidR="00D26F00" w:rsidRPr="00D44484" w:rsidRDefault="00D26F00" w:rsidP="00D26F00">
      <w:pPr>
        <w:spacing w:after="0" w:line="240" w:lineRule="auto"/>
        <w:jc w:val="both"/>
        <w:rPr>
          <w:rFonts w:ascii="Arial Narrow" w:hAnsi="Arial Narrow"/>
          <w:b/>
          <w:sz w:val="24"/>
          <w:szCs w:val="24"/>
        </w:rPr>
      </w:pPr>
    </w:p>
    <w:p w:rsidR="00D26F00" w:rsidRDefault="00D26F00" w:rsidP="00D26F00">
      <w:pPr>
        <w:spacing w:after="0" w:line="240" w:lineRule="auto"/>
        <w:jc w:val="both"/>
        <w:rPr>
          <w:rStyle w:val="SinespaciadoCar"/>
          <w:rFonts w:ascii="Arial Narrow" w:hAnsi="Arial Narrow"/>
          <w:sz w:val="24"/>
          <w:szCs w:val="24"/>
        </w:rPr>
      </w:pPr>
      <w:r w:rsidRPr="00D44484">
        <w:rPr>
          <w:rFonts w:ascii="Arial Narrow" w:hAnsi="Arial Narrow"/>
          <w:b/>
          <w:sz w:val="24"/>
          <w:szCs w:val="24"/>
        </w:rPr>
        <w:t>SEGUNDO:</w:t>
      </w:r>
      <w:r w:rsidRPr="00D44484">
        <w:rPr>
          <w:rFonts w:ascii="Arial Narrow" w:hAnsi="Arial Narrow"/>
          <w:sz w:val="24"/>
          <w:szCs w:val="24"/>
        </w:rPr>
        <w:t xml:space="preserve"> Incorporarse al expediente </w:t>
      </w:r>
      <w:r>
        <w:rPr>
          <w:rFonts w:ascii="Arial Narrow" w:hAnsi="Arial Narrow"/>
          <w:sz w:val="24"/>
          <w:szCs w:val="24"/>
        </w:rPr>
        <w:t xml:space="preserve">el informe base de las presentes diligencias presentado </w:t>
      </w:r>
      <w:r w:rsidRPr="00D44484">
        <w:rPr>
          <w:rStyle w:val="SinespaciadoCar"/>
          <w:rFonts w:ascii="Arial Narrow" w:hAnsi="Arial Narrow"/>
          <w:sz w:val="24"/>
          <w:szCs w:val="24"/>
        </w:rPr>
        <w:t xml:space="preserve">y demás documentos allegados en los términos del artículo 187 de la ley 1952 de 2019 y de acuerdo </w:t>
      </w:r>
      <w:r w:rsidRPr="00D44484">
        <w:rPr>
          <w:rStyle w:val="SinespaciadoCar"/>
          <w:rFonts w:ascii="Arial Narrow" w:hAnsi="Arial Narrow"/>
          <w:sz w:val="24"/>
          <w:szCs w:val="24"/>
        </w:rPr>
        <w:lastRenderedPageBreak/>
        <w:t xml:space="preserve">con los consagrado en el artículo 147 </w:t>
      </w:r>
      <w:proofErr w:type="spellStart"/>
      <w:r w:rsidRPr="00D44484">
        <w:rPr>
          <w:rStyle w:val="SinespaciadoCar"/>
          <w:rFonts w:ascii="Arial Narrow" w:hAnsi="Arial Narrow"/>
          <w:sz w:val="24"/>
          <w:szCs w:val="24"/>
        </w:rPr>
        <w:t>Ibidem</w:t>
      </w:r>
      <w:proofErr w:type="spellEnd"/>
      <w:r w:rsidRPr="00D44484">
        <w:rPr>
          <w:rStyle w:val="SinespaciadoCar"/>
          <w:rFonts w:ascii="Arial Narrow" w:hAnsi="Arial Narrow"/>
          <w:sz w:val="24"/>
          <w:szCs w:val="24"/>
        </w:rPr>
        <w:t xml:space="preserve"> del C.G.D, por considerarlo conducente, pertinente y necesario para dilucidar los hechos materia de indagación, haciendo uso de los medios de prueba legalmente reconocidos, se ordenará las siguientes pruebas:</w:t>
      </w:r>
    </w:p>
    <w:p w:rsidR="00D26F00" w:rsidRPr="00D44484" w:rsidRDefault="00D26F00" w:rsidP="00D26F00">
      <w:pPr>
        <w:spacing w:after="0" w:line="240" w:lineRule="auto"/>
        <w:jc w:val="both"/>
        <w:rPr>
          <w:rStyle w:val="SinespaciadoCar"/>
          <w:rFonts w:ascii="Arial Narrow" w:hAnsi="Arial Narrow"/>
          <w:sz w:val="24"/>
          <w:szCs w:val="24"/>
        </w:rPr>
      </w:pPr>
    </w:p>
    <w:p w:rsidR="00D26F00" w:rsidRPr="000053AE" w:rsidRDefault="00D26F00" w:rsidP="00D26F00">
      <w:pPr>
        <w:pStyle w:val="Prrafodelista"/>
        <w:numPr>
          <w:ilvl w:val="1"/>
          <w:numId w:val="1"/>
        </w:numPr>
        <w:ind w:left="0" w:firstLine="0"/>
        <w:jc w:val="both"/>
        <w:rPr>
          <w:rFonts w:ascii="Arial Narrow" w:hAnsi="Arial Narrow" w:cs="Arial"/>
          <w:lang w:val="es-MX"/>
        </w:rPr>
      </w:pPr>
      <w:r w:rsidRPr="004C2567">
        <w:rPr>
          <w:rFonts w:ascii="Arial Narrow" w:hAnsi="Arial Narrow" w:cs="Arial"/>
          <w:lang w:val="es-MX"/>
        </w:rPr>
        <w:t>Realizar Inspección Disciplinaria al interior de</w:t>
      </w:r>
      <w:r w:rsidR="0040348D">
        <w:rPr>
          <w:rFonts w:ascii="Arial Narrow" w:hAnsi="Arial Narrow" w:cs="Arial"/>
          <w:lang w:val="es-MX"/>
        </w:rPr>
        <w:t xml:space="preserve"> </w:t>
      </w:r>
      <w:r w:rsidRPr="004C2567">
        <w:rPr>
          <w:rFonts w:ascii="Arial Narrow" w:hAnsi="Arial Narrow" w:cs="Arial"/>
          <w:lang w:val="es-MX"/>
        </w:rPr>
        <w:t>l</w:t>
      </w:r>
      <w:r w:rsidR="0040348D">
        <w:rPr>
          <w:rFonts w:ascii="Arial Narrow" w:hAnsi="Arial Narrow" w:cs="Arial"/>
          <w:lang w:val="es-MX"/>
        </w:rPr>
        <w:t>a</w:t>
      </w:r>
      <w:r w:rsidRPr="004C2567">
        <w:rPr>
          <w:rFonts w:ascii="Arial Narrow" w:hAnsi="Arial Narrow" w:cs="Arial"/>
          <w:lang w:val="es-MX"/>
        </w:rPr>
        <w:t xml:space="preserve"> </w:t>
      </w:r>
      <w:r w:rsidR="0040348D">
        <w:rPr>
          <w:rFonts w:ascii="Arial Narrow" w:hAnsi="Arial Narrow" w:cs="Arial"/>
        </w:rPr>
        <w:t xml:space="preserve">Secretario Administrativo y Financiero </w:t>
      </w:r>
      <w:r w:rsidR="0040348D">
        <w:rPr>
          <w:rFonts w:ascii="Arial Narrow" w:hAnsi="Arial Narrow" w:cs="Arial"/>
          <w:lang w:val="es-MX"/>
        </w:rPr>
        <w:t>de la Contraloría Departamental del Tolima</w:t>
      </w:r>
      <w:r w:rsidRPr="004C2567">
        <w:rPr>
          <w:rFonts w:ascii="Arial Narrow" w:hAnsi="Arial Narrow" w:cs="Arial"/>
          <w:lang w:val="es-MX"/>
        </w:rPr>
        <w:t>, con miras a recopilar información concerniente a los hechos materia de investigación y cumplir con los fines de la Indagación Previa</w:t>
      </w:r>
      <w:r>
        <w:rPr>
          <w:rFonts w:ascii="Arial Narrow" w:hAnsi="Arial Narrow" w:cs="Arial"/>
          <w:lang w:val="es-MX"/>
        </w:rPr>
        <w:t xml:space="preserve">, que se encuentran en </w:t>
      </w:r>
      <w:r w:rsidR="0040348D">
        <w:rPr>
          <w:rFonts w:ascii="Arial Narrow" w:hAnsi="Arial Narrow" w:cs="Arial"/>
          <w:lang w:val="es-MX"/>
        </w:rPr>
        <w:t xml:space="preserve">los procesos contractuales adelantados por la entidad y que tuvieron por objeto la adquisición </w:t>
      </w:r>
      <w:r w:rsidR="000053AE" w:rsidRPr="000053AE">
        <w:rPr>
          <w:rFonts w:ascii="Arial Narrow" w:hAnsi="Arial Narrow"/>
        </w:rPr>
        <w:t xml:space="preserve">de pólizas de seguros que amparan los bienes muebles, inmuebles e intereses patrimoniales de la contraloría departamental del </w:t>
      </w:r>
      <w:proofErr w:type="spellStart"/>
      <w:r w:rsidR="000053AE" w:rsidRPr="000053AE">
        <w:rPr>
          <w:rFonts w:ascii="Arial Narrow" w:hAnsi="Arial Narrow"/>
        </w:rPr>
        <w:t>tolima</w:t>
      </w:r>
      <w:proofErr w:type="spellEnd"/>
      <w:r w:rsidR="000053AE" w:rsidRPr="000053AE">
        <w:rPr>
          <w:rFonts w:ascii="Arial Narrow" w:hAnsi="Arial Narrow"/>
        </w:rPr>
        <w:t>, para las vigencias 2022 – 2023 y 2023 - 2024</w:t>
      </w:r>
    </w:p>
    <w:p w:rsidR="00D26F00" w:rsidRPr="000346F4" w:rsidRDefault="00D26F00" w:rsidP="00D26F00">
      <w:pPr>
        <w:pStyle w:val="Prrafodelista"/>
        <w:ind w:left="0"/>
        <w:jc w:val="both"/>
        <w:rPr>
          <w:rFonts w:ascii="Arial Narrow" w:hAnsi="Arial Narrow" w:cs="Arial"/>
          <w:lang w:val="es-MX"/>
        </w:rPr>
      </w:pPr>
    </w:p>
    <w:p w:rsidR="00D26F00" w:rsidRPr="00D44484" w:rsidRDefault="000053AE" w:rsidP="00D26F00">
      <w:pPr>
        <w:shd w:val="clear" w:color="auto" w:fill="FFFFFF"/>
        <w:spacing w:after="0" w:line="240" w:lineRule="auto"/>
        <w:jc w:val="both"/>
        <w:rPr>
          <w:rFonts w:ascii="Arial Narrow" w:eastAsia="Calibri" w:hAnsi="Arial Narrow" w:cs="Arial"/>
          <w:sz w:val="24"/>
          <w:szCs w:val="24"/>
          <w:lang w:eastAsia="es"/>
        </w:rPr>
      </w:pPr>
      <w:r>
        <w:rPr>
          <w:rFonts w:ascii="Arial Narrow" w:eastAsia="Times New Roman" w:hAnsi="Arial Narrow" w:cs="Arial"/>
          <w:b/>
          <w:bCs/>
          <w:sz w:val="24"/>
          <w:szCs w:val="24"/>
          <w:lang w:eastAsia="es-CO"/>
        </w:rPr>
        <w:t>TERCERO</w:t>
      </w:r>
      <w:r w:rsidR="00D26F00" w:rsidRPr="00D44484">
        <w:rPr>
          <w:rFonts w:ascii="Arial Narrow" w:eastAsia="Times New Roman" w:hAnsi="Arial Narrow" w:cs="Arial"/>
          <w:b/>
          <w:bCs/>
          <w:sz w:val="24"/>
          <w:szCs w:val="24"/>
          <w:lang w:eastAsia="es-CO"/>
        </w:rPr>
        <w:t xml:space="preserve">: </w:t>
      </w:r>
      <w:r w:rsidR="00D26F00" w:rsidRPr="00D44484">
        <w:rPr>
          <w:rFonts w:ascii="Arial Narrow" w:eastAsia="Calibri" w:hAnsi="Arial Narrow" w:cs="Arial"/>
          <w:sz w:val="24"/>
          <w:szCs w:val="24"/>
          <w:lang w:eastAsia="es"/>
        </w:rPr>
        <w:t>Contra la presente determinación no procede recurso alguno, de conformidad con lo dispuesto en el artículo 133 y 134  del CGD.</w:t>
      </w:r>
    </w:p>
    <w:p w:rsidR="00D26F00" w:rsidRPr="00D44484" w:rsidRDefault="00D26F00" w:rsidP="00D26F00">
      <w:pPr>
        <w:suppressAutoHyphens/>
        <w:autoSpaceDN w:val="0"/>
        <w:spacing w:after="0" w:line="240" w:lineRule="auto"/>
        <w:jc w:val="both"/>
        <w:textAlignment w:val="baseline"/>
        <w:rPr>
          <w:rFonts w:ascii="Arial Narrow" w:eastAsia="Calibri" w:hAnsi="Arial Narrow" w:cs="Arial"/>
          <w:b/>
          <w:sz w:val="24"/>
          <w:szCs w:val="24"/>
          <w:lang w:eastAsia="es"/>
        </w:rPr>
      </w:pPr>
    </w:p>
    <w:p w:rsidR="00D26F00" w:rsidRDefault="000053AE" w:rsidP="00D26F00">
      <w:pPr>
        <w:suppressAutoHyphens/>
        <w:autoSpaceDN w:val="0"/>
        <w:spacing w:after="0" w:line="240" w:lineRule="auto"/>
        <w:jc w:val="both"/>
        <w:textAlignment w:val="baseline"/>
        <w:rPr>
          <w:rFonts w:ascii="Arial Narrow" w:eastAsia="Calibri" w:hAnsi="Arial Narrow" w:cs="Arial"/>
          <w:bCs/>
          <w:sz w:val="24"/>
          <w:szCs w:val="24"/>
        </w:rPr>
      </w:pPr>
      <w:r>
        <w:rPr>
          <w:rFonts w:ascii="Arial Narrow" w:eastAsia="Calibri" w:hAnsi="Arial Narrow" w:cs="Arial"/>
          <w:b/>
          <w:sz w:val="24"/>
          <w:szCs w:val="24"/>
          <w:lang w:eastAsia="es"/>
        </w:rPr>
        <w:t>CUARTO</w:t>
      </w:r>
      <w:r w:rsidR="00D26F00" w:rsidRPr="00D44484">
        <w:rPr>
          <w:rFonts w:ascii="Arial Narrow" w:eastAsia="Calibri" w:hAnsi="Arial Narrow" w:cs="Arial"/>
          <w:b/>
          <w:sz w:val="24"/>
          <w:szCs w:val="24"/>
          <w:lang w:eastAsia="es"/>
        </w:rPr>
        <w:t xml:space="preserve">: </w:t>
      </w:r>
      <w:r w:rsidR="00D26F00" w:rsidRPr="00D44484">
        <w:rPr>
          <w:rFonts w:ascii="Arial Narrow" w:eastAsia="Calibri" w:hAnsi="Arial Narrow" w:cs="Arial"/>
          <w:bCs/>
          <w:sz w:val="24"/>
          <w:szCs w:val="24"/>
        </w:rPr>
        <w:t xml:space="preserve">Se advierte que las actuaciones disciplinarias serán reservadas hasta cuando se formule el pliego de cargos o se cite a audiencia o la providencia que ordene el archivo definitivo, sin perjuicio de los derechos de los sujetos procesales. Configura falta disciplinaria gravísima violar la reserva de la investigación y de las demás actuaciones sometidas a la misma restricción (artículo 55 No. 1 </w:t>
      </w:r>
      <w:r w:rsidR="00D26F00" w:rsidRPr="00D44484">
        <w:rPr>
          <w:rFonts w:ascii="Arial Narrow" w:eastAsia="Calibri" w:hAnsi="Arial Narrow" w:cs="Arial"/>
          <w:bCs/>
          <w:i/>
          <w:sz w:val="24"/>
          <w:szCs w:val="24"/>
        </w:rPr>
        <w:t>ibídem</w:t>
      </w:r>
      <w:r w:rsidR="00D26F00" w:rsidRPr="00D44484">
        <w:rPr>
          <w:rFonts w:ascii="Arial Narrow" w:eastAsia="Calibri" w:hAnsi="Arial Narrow" w:cs="Arial"/>
          <w:bCs/>
          <w:sz w:val="24"/>
          <w:szCs w:val="24"/>
        </w:rPr>
        <w:t>).</w:t>
      </w:r>
    </w:p>
    <w:p w:rsidR="00D26F00" w:rsidRDefault="00D26F00" w:rsidP="00D26F00">
      <w:pPr>
        <w:suppressAutoHyphens/>
        <w:autoSpaceDN w:val="0"/>
        <w:spacing w:after="0" w:line="240" w:lineRule="auto"/>
        <w:jc w:val="both"/>
        <w:textAlignment w:val="baseline"/>
        <w:rPr>
          <w:rFonts w:ascii="Arial Narrow" w:eastAsia="Calibri" w:hAnsi="Arial Narrow" w:cs="Arial"/>
          <w:bCs/>
          <w:sz w:val="24"/>
          <w:szCs w:val="24"/>
        </w:rPr>
      </w:pPr>
    </w:p>
    <w:p w:rsidR="00D26F00" w:rsidRPr="00EE4878" w:rsidRDefault="000053AE" w:rsidP="00D26F00">
      <w:pPr>
        <w:spacing w:after="200" w:line="240" w:lineRule="auto"/>
        <w:jc w:val="both"/>
        <w:rPr>
          <w:rFonts w:ascii="Arial Narrow" w:hAnsi="Arial Narrow" w:cs="Arial"/>
          <w:sz w:val="24"/>
          <w:szCs w:val="24"/>
        </w:rPr>
      </w:pPr>
      <w:r>
        <w:rPr>
          <w:rFonts w:ascii="Arial Narrow" w:hAnsi="Arial Narrow" w:cs="Arial"/>
          <w:b/>
          <w:bCs/>
          <w:sz w:val="24"/>
          <w:szCs w:val="24"/>
        </w:rPr>
        <w:t>QUINTO</w:t>
      </w:r>
      <w:r w:rsidR="00D26F00" w:rsidRPr="00EE4878">
        <w:rPr>
          <w:rFonts w:ascii="Arial Narrow" w:hAnsi="Arial Narrow" w:cs="Arial"/>
          <w:b/>
          <w:bCs/>
          <w:sz w:val="24"/>
          <w:szCs w:val="24"/>
        </w:rPr>
        <w:t>:</w:t>
      </w:r>
      <w:r w:rsidR="00D26F00" w:rsidRPr="00EE4878">
        <w:rPr>
          <w:rFonts w:ascii="Arial Narrow" w:hAnsi="Arial Narrow" w:cs="Arial"/>
          <w:sz w:val="24"/>
          <w:szCs w:val="24"/>
        </w:rPr>
        <w:t xml:space="preserve"> Por Secretaria, efectúense </w:t>
      </w:r>
      <w:r w:rsidR="00D26F00">
        <w:rPr>
          <w:rFonts w:ascii="Arial Narrow" w:hAnsi="Arial Narrow" w:cs="Arial"/>
          <w:sz w:val="24"/>
          <w:szCs w:val="24"/>
        </w:rPr>
        <w:t xml:space="preserve">las constancias </w:t>
      </w:r>
      <w:r w:rsidR="00D26F00" w:rsidRPr="00EE4878">
        <w:rPr>
          <w:rFonts w:ascii="Arial Narrow" w:hAnsi="Arial Narrow" w:cs="Arial"/>
          <w:sz w:val="24"/>
          <w:szCs w:val="24"/>
        </w:rPr>
        <w:t>y anotaciones correspondientes.</w:t>
      </w:r>
    </w:p>
    <w:p w:rsidR="00D26F00" w:rsidRPr="00D44484" w:rsidRDefault="00D26F00" w:rsidP="00D26F00">
      <w:pPr>
        <w:suppressAutoHyphens/>
        <w:autoSpaceDN w:val="0"/>
        <w:spacing w:after="0" w:line="240" w:lineRule="auto"/>
        <w:jc w:val="both"/>
        <w:textAlignment w:val="baseline"/>
        <w:rPr>
          <w:rFonts w:ascii="Arial Narrow" w:eastAsia="Calibri" w:hAnsi="Arial Narrow" w:cs="Arial"/>
          <w:sz w:val="24"/>
          <w:szCs w:val="24"/>
          <w:lang w:eastAsia="es"/>
        </w:rPr>
      </w:pPr>
    </w:p>
    <w:p w:rsidR="00D26F00" w:rsidRPr="00D44484" w:rsidRDefault="00D26F00" w:rsidP="00D26F00">
      <w:pPr>
        <w:spacing w:after="0" w:line="240" w:lineRule="auto"/>
        <w:jc w:val="center"/>
        <w:rPr>
          <w:rFonts w:ascii="Arial Narrow" w:hAnsi="Arial Narrow" w:cs="Arial"/>
          <w:b/>
          <w:sz w:val="24"/>
          <w:szCs w:val="24"/>
        </w:rPr>
      </w:pPr>
      <w:r w:rsidRPr="00D44484">
        <w:rPr>
          <w:rFonts w:ascii="Arial Narrow" w:hAnsi="Arial Narrow" w:cs="Arial"/>
          <w:b/>
          <w:sz w:val="24"/>
          <w:szCs w:val="24"/>
        </w:rPr>
        <w:t>COMUNÍQUESE Y CÚMPLASE</w:t>
      </w:r>
    </w:p>
    <w:p w:rsidR="00D26F00" w:rsidRPr="00D44484" w:rsidRDefault="00D26F00" w:rsidP="00D26F00">
      <w:pPr>
        <w:tabs>
          <w:tab w:val="left" w:pos="2250"/>
        </w:tabs>
        <w:spacing w:after="0" w:line="240" w:lineRule="auto"/>
        <w:jc w:val="center"/>
        <w:rPr>
          <w:rFonts w:ascii="Arial Narrow" w:hAnsi="Arial Narrow" w:cs="Arial"/>
          <w:b/>
          <w:iCs/>
          <w:kern w:val="3"/>
          <w:sz w:val="24"/>
          <w:szCs w:val="24"/>
          <w:lang w:eastAsia="ar-SA"/>
        </w:rPr>
      </w:pPr>
    </w:p>
    <w:p w:rsidR="00D26F00" w:rsidRDefault="00D26F00" w:rsidP="00D26F00">
      <w:pPr>
        <w:tabs>
          <w:tab w:val="left" w:pos="2250"/>
        </w:tabs>
        <w:spacing w:after="0" w:line="240" w:lineRule="auto"/>
        <w:jc w:val="center"/>
        <w:rPr>
          <w:rFonts w:ascii="Arial Narrow" w:hAnsi="Arial Narrow" w:cs="Arial"/>
          <w:b/>
          <w:iCs/>
          <w:kern w:val="3"/>
          <w:sz w:val="24"/>
          <w:szCs w:val="24"/>
          <w:lang w:eastAsia="ar-SA"/>
        </w:rPr>
      </w:pPr>
    </w:p>
    <w:p w:rsidR="000053AE" w:rsidRPr="00D44484" w:rsidRDefault="000053AE" w:rsidP="00D26F00">
      <w:pPr>
        <w:tabs>
          <w:tab w:val="left" w:pos="2250"/>
        </w:tabs>
        <w:spacing w:after="0" w:line="240" w:lineRule="auto"/>
        <w:jc w:val="center"/>
        <w:rPr>
          <w:rFonts w:ascii="Arial Narrow" w:hAnsi="Arial Narrow" w:cs="Arial"/>
          <w:b/>
          <w:iCs/>
          <w:kern w:val="3"/>
          <w:sz w:val="24"/>
          <w:szCs w:val="24"/>
          <w:lang w:eastAsia="ar-SA"/>
        </w:rPr>
      </w:pPr>
    </w:p>
    <w:p w:rsidR="00D26F00" w:rsidRPr="000053AE" w:rsidRDefault="000053AE" w:rsidP="00D26F00">
      <w:pPr>
        <w:tabs>
          <w:tab w:val="left" w:pos="2250"/>
        </w:tabs>
        <w:spacing w:after="0" w:line="240" w:lineRule="auto"/>
        <w:jc w:val="center"/>
        <w:rPr>
          <w:rFonts w:ascii="Arial Narrow" w:hAnsi="Arial Narrow" w:cs="Arial"/>
          <w:b/>
          <w:sz w:val="24"/>
          <w:szCs w:val="24"/>
        </w:rPr>
      </w:pPr>
      <w:r w:rsidRPr="000053AE">
        <w:rPr>
          <w:rFonts w:ascii="Arial Narrow" w:hAnsi="Arial Narrow" w:cs="Arial"/>
          <w:b/>
          <w:sz w:val="24"/>
          <w:szCs w:val="24"/>
        </w:rPr>
        <w:t>JAIRO ESTEBAN ROBAYO</w:t>
      </w:r>
    </w:p>
    <w:p w:rsidR="000053AE" w:rsidRDefault="000053AE" w:rsidP="00D26F00">
      <w:pPr>
        <w:tabs>
          <w:tab w:val="left" w:pos="2250"/>
        </w:tabs>
        <w:spacing w:after="0" w:line="240" w:lineRule="auto"/>
        <w:jc w:val="center"/>
        <w:rPr>
          <w:rFonts w:ascii="Arial Narrow" w:hAnsi="Arial Narrow" w:cs="Arial"/>
          <w:sz w:val="24"/>
          <w:szCs w:val="24"/>
        </w:rPr>
      </w:pPr>
      <w:r>
        <w:rPr>
          <w:rFonts w:ascii="Arial Narrow" w:hAnsi="Arial Narrow" w:cs="Arial"/>
          <w:sz w:val="24"/>
          <w:szCs w:val="24"/>
        </w:rPr>
        <w:t>Secretario General Contraloría Departamental del Tolima</w:t>
      </w:r>
    </w:p>
    <w:p w:rsidR="000053AE" w:rsidRPr="000346F4" w:rsidRDefault="000053AE" w:rsidP="00D26F00">
      <w:pPr>
        <w:tabs>
          <w:tab w:val="left" w:pos="2250"/>
        </w:tabs>
        <w:spacing w:after="0" w:line="240" w:lineRule="auto"/>
        <w:jc w:val="center"/>
        <w:rPr>
          <w:rFonts w:ascii="Arial Narrow" w:hAnsi="Arial Narrow" w:cs="Arial"/>
          <w:sz w:val="24"/>
          <w:szCs w:val="24"/>
        </w:rPr>
      </w:pPr>
      <w:r>
        <w:rPr>
          <w:rFonts w:ascii="Arial Narrow" w:hAnsi="Arial Narrow" w:cs="Arial"/>
          <w:sz w:val="24"/>
          <w:szCs w:val="24"/>
        </w:rPr>
        <w:t xml:space="preserve">Con funciones de Instrucción de primera Instancia. </w:t>
      </w:r>
    </w:p>
    <w:p w:rsidR="00D26F00" w:rsidRDefault="00D26F00" w:rsidP="00D26F00"/>
    <w:p w:rsidR="00D26F00" w:rsidRDefault="00D26F00" w:rsidP="00D26F00"/>
    <w:p w:rsidR="00D26F00" w:rsidRDefault="00D26F00" w:rsidP="00D26F00"/>
    <w:p w:rsidR="0094499E" w:rsidRDefault="0094499E"/>
    <w:sectPr w:rsidR="0094499E" w:rsidSect="00366649">
      <w:headerReference w:type="default" r:id="rId7"/>
      <w:footerReference w:type="default" r:id="rId8"/>
      <w:pgSz w:w="12185" w:h="17861" w:code="345"/>
      <w:pgMar w:top="1701" w:right="1701" w:bottom="1701" w:left="1701" w:header="709" w:footer="18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373" w:rsidRDefault="00214373">
      <w:pPr>
        <w:spacing w:after="0" w:line="240" w:lineRule="auto"/>
      </w:pPr>
      <w:r>
        <w:separator/>
      </w:r>
    </w:p>
  </w:endnote>
  <w:endnote w:type="continuationSeparator" w:id="0">
    <w:p w:rsidR="00214373" w:rsidRDefault="00214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9040656"/>
      <w:docPartObj>
        <w:docPartGallery w:val="Page Numbers (Bottom of Page)"/>
        <w:docPartUnique/>
      </w:docPartObj>
    </w:sdtPr>
    <w:sdtEndPr/>
    <w:sdtContent>
      <w:sdt>
        <w:sdtPr>
          <w:id w:val="-1443066665"/>
          <w:docPartObj>
            <w:docPartGallery w:val="Page Numbers (Top of Page)"/>
            <w:docPartUnique/>
          </w:docPartObj>
        </w:sdtPr>
        <w:sdtEndPr/>
        <w:sdtContent>
          <w:p w:rsidR="007716A4" w:rsidRPr="00AB5825" w:rsidRDefault="000053AE">
            <w:pPr>
              <w:pStyle w:val="Piedepgina"/>
              <w:jc w:val="right"/>
            </w:pPr>
            <w:r w:rsidRPr="00AB5825">
              <w:rPr>
                <w:sz w:val="16"/>
                <w:szCs w:val="16"/>
                <w:lang w:val="es-ES"/>
              </w:rPr>
              <w:t xml:space="preserve">Página </w:t>
            </w:r>
            <w:r w:rsidRPr="00AB5825">
              <w:rPr>
                <w:b/>
                <w:bCs/>
                <w:sz w:val="16"/>
                <w:szCs w:val="16"/>
              </w:rPr>
              <w:fldChar w:fldCharType="begin"/>
            </w:r>
            <w:r w:rsidRPr="00AB5825">
              <w:rPr>
                <w:b/>
                <w:bCs/>
                <w:sz w:val="16"/>
                <w:szCs w:val="16"/>
              </w:rPr>
              <w:instrText>PAGE</w:instrText>
            </w:r>
            <w:r w:rsidRPr="00AB5825">
              <w:rPr>
                <w:b/>
                <w:bCs/>
                <w:sz w:val="16"/>
                <w:szCs w:val="16"/>
              </w:rPr>
              <w:fldChar w:fldCharType="separate"/>
            </w:r>
            <w:r w:rsidR="00B20260">
              <w:rPr>
                <w:b/>
                <w:bCs/>
                <w:noProof/>
                <w:sz w:val="16"/>
                <w:szCs w:val="16"/>
              </w:rPr>
              <w:t>3</w:t>
            </w:r>
            <w:r w:rsidRPr="00AB5825">
              <w:rPr>
                <w:b/>
                <w:bCs/>
                <w:sz w:val="16"/>
                <w:szCs w:val="16"/>
              </w:rPr>
              <w:fldChar w:fldCharType="end"/>
            </w:r>
            <w:r w:rsidRPr="00AB5825">
              <w:rPr>
                <w:sz w:val="16"/>
                <w:szCs w:val="16"/>
                <w:lang w:val="es-ES"/>
              </w:rPr>
              <w:t xml:space="preserve"> de </w:t>
            </w:r>
            <w:r w:rsidRPr="00AB5825">
              <w:rPr>
                <w:b/>
                <w:bCs/>
                <w:sz w:val="16"/>
                <w:szCs w:val="16"/>
              </w:rPr>
              <w:fldChar w:fldCharType="begin"/>
            </w:r>
            <w:r w:rsidRPr="00AB5825">
              <w:rPr>
                <w:b/>
                <w:bCs/>
                <w:sz w:val="16"/>
                <w:szCs w:val="16"/>
              </w:rPr>
              <w:instrText>NUMPAGES</w:instrText>
            </w:r>
            <w:r w:rsidRPr="00AB5825">
              <w:rPr>
                <w:b/>
                <w:bCs/>
                <w:sz w:val="16"/>
                <w:szCs w:val="16"/>
              </w:rPr>
              <w:fldChar w:fldCharType="separate"/>
            </w:r>
            <w:r w:rsidR="00B20260">
              <w:rPr>
                <w:b/>
                <w:bCs/>
                <w:noProof/>
                <w:sz w:val="16"/>
                <w:szCs w:val="16"/>
              </w:rPr>
              <w:t>3</w:t>
            </w:r>
            <w:r w:rsidRPr="00AB5825">
              <w:rPr>
                <w:b/>
                <w:bCs/>
                <w:sz w:val="16"/>
                <w:szCs w:val="16"/>
              </w:rPr>
              <w:fldChar w:fldCharType="end"/>
            </w:r>
          </w:p>
        </w:sdtContent>
      </w:sdt>
    </w:sdtContent>
  </w:sdt>
  <w:p w:rsidR="00366649" w:rsidRDefault="00366649" w:rsidP="00366649">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rsidR="00366649" w:rsidRPr="00153F44" w:rsidRDefault="00366649" w:rsidP="00366649">
    <w:pPr>
      <w:pStyle w:val="Piedepgina"/>
      <w:rPr>
        <w:rFonts w:eastAsia="Calibri" w:cs="Tahoma"/>
        <w:sz w:val="14"/>
        <w:szCs w:val="18"/>
        <w:lang w:val="es-MX"/>
      </w:rPr>
    </w:pPr>
    <w:r>
      <w:rPr>
        <w:rFonts w:eastAsia="Calibri" w:cs="Tahoma"/>
        <w:sz w:val="14"/>
        <w:szCs w:val="18"/>
        <w:lang w:val="es-MX"/>
      </w:rPr>
      <w:t>La versión actualizada y controlada de este documento, se consulta a través de la página web en el espacio dedicado al SGC.</w:t>
    </w:r>
  </w:p>
  <w:p w:rsidR="007716A4" w:rsidRPr="00AB5825" w:rsidRDefault="00B20260" w:rsidP="00366649">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373" w:rsidRDefault="00214373">
      <w:pPr>
        <w:spacing w:after="0" w:line="240" w:lineRule="auto"/>
      </w:pPr>
      <w:r>
        <w:separator/>
      </w:r>
    </w:p>
  </w:footnote>
  <w:footnote w:type="continuationSeparator" w:id="0">
    <w:p w:rsidR="00214373" w:rsidRDefault="002143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2724"/>
      <w:gridCol w:w="2620"/>
      <w:gridCol w:w="1800"/>
    </w:tblGrid>
    <w:tr w:rsidR="00366649" w:rsidRPr="00366649" w:rsidTr="00366649">
      <w:trPr>
        <w:trHeight w:val="520"/>
        <w:jc w:val="center"/>
      </w:trPr>
      <w:tc>
        <w:tcPr>
          <w:tcW w:w="1986" w:type="dxa"/>
          <w:vMerge w:val="restart"/>
          <w:vAlign w:val="center"/>
        </w:tcPr>
        <w:p w:rsidR="00366649" w:rsidRPr="00366649" w:rsidRDefault="00366649" w:rsidP="00366649">
          <w:pPr>
            <w:pStyle w:val="Encabezado"/>
            <w:jc w:val="center"/>
            <w:rPr>
              <w:color w:val="008000"/>
              <w:sz w:val="20"/>
              <w:szCs w:val="20"/>
            </w:rPr>
          </w:pPr>
          <w:r w:rsidRPr="00366649">
            <w:rPr>
              <w:noProof/>
              <w:color w:val="008000"/>
              <w:sz w:val="20"/>
              <w:szCs w:val="20"/>
              <w:lang w:eastAsia="es-CO"/>
            </w:rPr>
            <w:drawing>
              <wp:inline distT="0" distB="0" distL="0" distR="0" wp14:anchorId="2AA86A78" wp14:editId="1A093A5D">
                <wp:extent cx="1123950" cy="942975"/>
                <wp:effectExtent l="0" t="0" r="0" b="9525"/>
                <wp:docPr id="23" name="Imagen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cstate="print">
                          <a:extLst>
                            <a:ext uri="{28A0092B-C50C-407E-A947-70E740481C1C}">
                              <a14:useLocalDpi xmlns:a14="http://schemas.microsoft.com/office/drawing/2010/main" val="0"/>
                            </a:ext>
                          </a:extLst>
                        </a:blip>
                        <a:srcRect l="12187" t="17025" r="12051" b="16572"/>
                        <a:stretch/>
                      </pic:blipFill>
                      <pic:spPr bwMode="auto">
                        <a:xfrm>
                          <a:off x="0" y="0"/>
                          <a:ext cx="1168412" cy="98027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144" w:type="dxa"/>
          <w:gridSpan w:val="3"/>
          <w:vAlign w:val="center"/>
        </w:tcPr>
        <w:p w:rsidR="00AF50BB" w:rsidRDefault="00366649" w:rsidP="00AF50BB">
          <w:pPr>
            <w:tabs>
              <w:tab w:val="center" w:pos="4252"/>
              <w:tab w:val="right" w:pos="8504"/>
            </w:tabs>
            <w:jc w:val="center"/>
            <w:rPr>
              <w:rFonts w:ascii="Tahoma" w:hAnsi="Tahoma" w:cs="Tahoma"/>
              <w:b/>
              <w:bCs/>
              <w:sz w:val="20"/>
              <w:szCs w:val="20"/>
            </w:rPr>
          </w:pPr>
          <w:r w:rsidRPr="00366649">
            <w:rPr>
              <w:rFonts w:ascii="Tahoma" w:hAnsi="Tahoma" w:cs="Tahoma"/>
              <w:b/>
              <w:bCs/>
              <w:sz w:val="20"/>
              <w:szCs w:val="20"/>
            </w:rPr>
            <w:t>SECRETARIA GENERAL</w:t>
          </w:r>
        </w:p>
        <w:p w:rsidR="00366649" w:rsidRPr="00366649" w:rsidRDefault="00366649" w:rsidP="00AF50BB">
          <w:pPr>
            <w:tabs>
              <w:tab w:val="center" w:pos="4252"/>
              <w:tab w:val="right" w:pos="8504"/>
            </w:tabs>
            <w:jc w:val="center"/>
            <w:rPr>
              <w:rFonts w:ascii="Tahoma" w:hAnsi="Tahoma" w:cs="Tahoma"/>
              <w:b/>
              <w:bCs/>
              <w:sz w:val="20"/>
              <w:szCs w:val="20"/>
            </w:rPr>
          </w:pPr>
          <w:r w:rsidRPr="00366649">
            <w:rPr>
              <w:rFonts w:ascii="Tahoma" w:hAnsi="Tahoma" w:cs="Tahoma"/>
              <w:b/>
              <w:bCs/>
              <w:sz w:val="20"/>
              <w:szCs w:val="20"/>
            </w:rPr>
            <w:t>PROCESO: GESTIÓN DE ENLACE</w:t>
          </w:r>
          <w:r w:rsidRPr="00366649">
            <w:rPr>
              <w:rFonts w:ascii="Tahoma" w:hAnsi="Tahoma" w:cs="Tahoma"/>
              <w:b/>
              <w:sz w:val="20"/>
              <w:szCs w:val="20"/>
            </w:rPr>
            <w:t>-GE</w:t>
          </w:r>
        </w:p>
      </w:tc>
    </w:tr>
    <w:tr w:rsidR="00366649" w:rsidRPr="00366649" w:rsidTr="00366649">
      <w:trPr>
        <w:trHeight w:val="691"/>
        <w:jc w:val="center"/>
      </w:trPr>
      <w:tc>
        <w:tcPr>
          <w:tcW w:w="1986" w:type="dxa"/>
          <w:vMerge/>
        </w:tcPr>
        <w:p w:rsidR="00366649" w:rsidRPr="00366649" w:rsidRDefault="00366649" w:rsidP="00366649">
          <w:pPr>
            <w:pStyle w:val="Encabezado"/>
            <w:rPr>
              <w:color w:val="008000"/>
              <w:sz w:val="20"/>
              <w:szCs w:val="20"/>
            </w:rPr>
          </w:pPr>
        </w:p>
      </w:tc>
      <w:tc>
        <w:tcPr>
          <w:tcW w:w="2724" w:type="dxa"/>
          <w:vAlign w:val="center"/>
        </w:tcPr>
        <w:p w:rsidR="00366649" w:rsidRPr="00366649" w:rsidRDefault="00366649" w:rsidP="00366649">
          <w:pPr>
            <w:jc w:val="center"/>
            <w:rPr>
              <w:rFonts w:ascii="Tahoma" w:hAnsi="Tahoma" w:cs="Tahoma"/>
              <w:b/>
              <w:bCs/>
              <w:sz w:val="20"/>
              <w:szCs w:val="20"/>
            </w:rPr>
          </w:pPr>
          <w:r w:rsidRPr="00366649">
            <w:rPr>
              <w:rFonts w:ascii="Tahoma" w:hAnsi="Tahoma" w:cs="Tahoma"/>
              <w:b/>
              <w:sz w:val="20"/>
              <w:szCs w:val="20"/>
            </w:rPr>
            <w:t>AUTO ORDENA APERTURA INDAGACIÓN PREVIA</w:t>
          </w:r>
        </w:p>
      </w:tc>
      <w:tc>
        <w:tcPr>
          <w:tcW w:w="2620" w:type="dxa"/>
          <w:vAlign w:val="center"/>
        </w:tcPr>
        <w:p w:rsidR="00366649" w:rsidRPr="00366649" w:rsidRDefault="00366649" w:rsidP="00B20260">
          <w:pPr>
            <w:tabs>
              <w:tab w:val="center" w:pos="4252"/>
              <w:tab w:val="right" w:pos="8504"/>
            </w:tabs>
            <w:jc w:val="center"/>
            <w:rPr>
              <w:rFonts w:ascii="Tahoma" w:hAnsi="Tahoma" w:cs="Tahoma"/>
              <w:bCs/>
              <w:sz w:val="20"/>
              <w:szCs w:val="20"/>
            </w:rPr>
          </w:pPr>
          <w:r w:rsidRPr="00366649">
            <w:rPr>
              <w:rFonts w:ascii="Tahoma" w:hAnsi="Tahoma" w:cs="Tahoma"/>
              <w:b/>
              <w:sz w:val="20"/>
              <w:szCs w:val="20"/>
            </w:rPr>
            <w:t>CÓDIGO:F</w:t>
          </w:r>
          <w:r w:rsidR="00B20260">
            <w:rPr>
              <w:rFonts w:ascii="Tahoma" w:hAnsi="Tahoma" w:cs="Tahoma"/>
              <w:b/>
              <w:sz w:val="20"/>
              <w:szCs w:val="20"/>
            </w:rPr>
            <w:t>81</w:t>
          </w:r>
          <w:r>
            <w:rPr>
              <w:rFonts w:ascii="Tahoma" w:hAnsi="Tahoma" w:cs="Tahoma"/>
              <w:b/>
              <w:sz w:val="20"/>
              <w:szCs w:val="20"/>
            </w:rPr>
            <w:t>-PA-GE-01</w:t>
          </w:r>
        </w:p>
      </w:tc>
      <w:tc>
        <w:tcPr>
          <w:tcW w:w="1800" w:type="dxa"/>
          <w:vAlign w:val="center"/>
        </w:tcPr>
        <w:p w:rsidR="00366649" w:rsidRPr="00366649" w:rsidRDefault="00366649" w:rsidP="00366649">
          <w:pPr>
            <w:jc w:val="center"/>
            <w:rPr>
              <w:rFonts w:ascii="Tahoma" w:hAnsi="Tahoma" w:cs="Tahoma"/>
              <w:bCs/>
              <w:sz w:val="20"/>
              <w:szCs w:val="20"/>
            </w:rPr>
          </w:pPr>
          <w:r w:rsidRPr="00366649">
            <w:rPr>
              <w:rFonts w:ascii="Tahoma" w:hAnsi="Tahoma" w:cs="Tahoma"/>
              <w:b/>
              <w:sz w:val="20"/>
              <w:szCs w:val="20"/>
            </w:rPr>
            <w:t xml:space="preserve">FECHA APROBACIÓN: </w:t>
          </w:r>
          <w:r>
            <w:rPr>
              <w:rFonts w:ascii="Tahoma" w:hAnsi="Tahoma" w:cs="Tahoma"/>
              <w:b/>
              <w:sz w:val="20"/>
              <w:szCs w:val="20"/>
            </w:rPr>
            <w:t>15-</w:t>
          </w:r>
          <w:r w:rsidRPr="00366649">
            <w:rPr>
              <w:rFonts w:ascii="Tahoma" w:hAnsi="Tahoma" w:cs="Tahoma"/>
              <w:b/>
              <w:sz w:val="20"/>
              <w:szCs w:val="20"/>
            </w:rPr>
            <w:t>0</w:t>
          </w:r>
          <w:r>
            <w:rPr>
              <w:rFonts w:ascii="Tahoma" w:hAnsi="Tahoma" w:cs="Tahoma"/>
              <w:b/>
              <w:sz w:val="20"/>
              <w:szCs w:val="20"/>
            </w:rPr>
            <w:t>4-2024</w:t>
          </w:r>
        </w:p>
      </w:tc>
    </w:tr>
  </w:tbl>
  <w:p w:rsidR="00366649" w:rsidRDefault="00366649">
    <w:pPr>
      <w:pStyle w:val="Encabezado"/>
    </w:pPr>
  </w:p>
  <w:p w:rsidR="007716A4" w:rsidRDefault="00B2026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46C04"/>
    <w:multiLevelType w:val="hybridMultilevel"/>
    <w:tmpl w:val="5F34B59A"/>
    <w:lvl w:ilvl="0" w:tplc="A7C25AB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6FA42596"/>
    <w:multiLevelType w:val="multilevel"/>
    <w:tmpl w:val="359AD138"/>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F00"/>
    <w:rsid w:val="000053AE"/>
    <w:rsid w:val="00214373"/>
    <w:rsid w:val="00272937"/>
    <w:rsid w:val="00366649"/>
    <w:rsid w:val="0040348D"/>
    <w:rsid w:val="004C10ED"/>
    <w:rsid w:val="00626EE3"/>
    <w:rsid w:val="0094499E"/>
    <w:rsid w:val="00AF50BB"/>
    <w:rsid w:val="00B20260"/>
    <w:rsid w:val="00B87FC0"/>
    <w:rsid w:val="00C565B2"/>
    <w:rsid w:val="00D26F0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74796B0-8083-4B80-91C1-9BD79D0E6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F00"/>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26F0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26F00"/>
  </w:style>
  <w:style w:type="paragraph" w:styleId="Piedepgina">
    <w:name w:val="footer"/>
    <w:basedOn w:val="Normal"/>
    <w:link w:val="PiedepginaCar"/>
    <w:unhideWhenUsed/>
    <w:rsid w:val="00D26F00"/>
    <w:pPr>
      <w:tabs>
        <w:tab w:val="center" w:pos="4419"/>
        <w:tab w:val="right" w:pos="8838"/>
      </w:tabs>
      <w:spacing w:after="0" w:line="240" w:lineRule="auto"/>
    </w:pPr>
  </w:style>
  <w:style w:type="character" w:customStyle="1" w:styleId="PiedepginaCar">
    <w:name w:val="Pie de página Car"/>
    <w:basedOn w:val="Fuentedeprrafopredeter"/>
    <w:link w:val="Piedepgina"/>
    <w:rsid w:val="00D26F00"/>
  </w:style>
  <w:style w:type="paragraph" w:styleId="Sinespaciado">
    <w:name w:val="No Spacing"/>
    <w:link w:val="SinespaciadoCar"/>
    <w:uiPriority w:val="1"/>
    <w:qFormat/>
    <w:rsid w:val="00D26F00"/>
    <w:pPr>
      <w:suppressAutoHyphens/>
      <w:autoSpaceDN w:val="0"/>
      <w:spacing w:after="0" w:line="240" w:lineRule="auto"/>
    </w:pPr>
    <w:rPr>
      <w:rFonts w:ascii="Calibri" w:eastAsia="Calibri" w:hAnsi="Calibri" w:cs="Times New Roman"/>
    </w:rPr>
  </w:style>
  <w:style w:type="paragraph" w:styleId="Prrafodelista">
    <w:name w:val="List Paragraph"/>
    <w:basedOn w:val="Normal"/>
    <w:uiPriority w:val="34"/>
    <w:qFormat/>
    <w:rsid w:val="00D26F00"/>
    <w:pPr>
      <w:spacing w:after="0" w:line="240" w:lineRule="auto"/>
      <w:ind w:left="720"/>
      <w:contextualSpacing/>
    </w:pPr>
    <w:rPr>
      <w:rFonts w:ascii="Times New Roman" w:eastAsia="Times New Roman" w:hAnsi="Times New Roman" w:cs="Times New Roman"/>
      <w:sz w:val="24"/>
      <w:szCs w:val="24"/>
      <w:lang w:val="es-ES" w:eastAsia="es-ES"/>
    </w:rPr>
  </w:style>
  <w:style w:type="character" w:customStyle="1" w:styleId="TextonotapieCar">
    <w:name w:val="Texto nota pie Car"/>
    <w:aliases w:val="Footnote Text Char Char Char Char Char Car,Footnote Text Char Char Char Char Car,Footnote reference Car,FA Fu Car1,Footnote Text Char Char Char Car,FA Fu Car Car,texto de nota al pie Car,ft Car,Footnote Text Cha Car,C Car,fn Car"/>
    <w:basedOn w:val="Fuentedeprrafopredeter"/>
    <w:link w:val="Textonotapie"/>
    <w:locked/>
    <w:rsid w:val="00D26F00"/>
    <w:rPr>
      <w:sz w:val="20"/>
      <w:szCs w:val="20"/>
    </w:rPr>
  </w:style>
  <w:style w:type="paragraph" w:styleId="Textonotapie">
    <w:name w:val="footnote text"/>
    <w:aliases w:val="Footnote Text Char Char Char Char Char,Footnote Text Char Char Char Char,Footnote reference,FA Fu,Footnote Text Char Char Char,FA Fu Car,texto de nota al pie,Footnote Text Char Char Char Char Char Char Char Char,ft,Footnote Text Cha,C,fn"/>
    <w:basedOn w:val="Normal"/>
    <w:link w:val="TextonotapieCar"/>
    <w:unhideWhenUsed/>
    <w:qFormat/>
    <w:rsid w:val="00D26F00"/>
    <w:pPr>
      <w:spacing w:after="0" w:line="240" w:lineRule="auto"/>
    </w:pPr>
    <w:rPr>
      <w:sz w:val="20"/>
      <w:szCs w:val="20"/>
    </w:rPr>
  </w:style>
  <w:style w:type="character" w:customStyle="1" w:styleId="TextonotapieCar1">
    <w:name w:val="Texto nota pie Car1"/>
    <w:basedOn w:val="Fuentedeprrafopredeter"/>
    <w:uiPriority w:val="99"/>
    <w:semiHidden/>
    <w:rsid w:val="00D26F00"/>
    <w:rPr>
      <w:sz w:val="20"/>
      <w:szCs w:val="20"/>
    </w:rPr>
  </w:style>
  <w:style w:type="character" w:customStyle="1" w:styleId="SinespaciadoCar">
    <w:name w:val="Sin espaciado Car"/>
    <w:link w:val="Sinespaciado"/>
    <w:uiPriority w:val="1"/>
    <w:locked/>
    <w:rsid w:val="00D26F00"/>
    <w:rPr>
      <w:rFonts w:ascii="Calibri" w:eastAsia="Calibri" w:hAnsi="Calibri" w:cs="Times New Roman"/>
    </w:rPr>
  </w:style>
  <w:style w:type="character" w:customStyle="1" w:styleId="NormalWebCar">
    <w:name w:val="Normal (Web) Car"/>
    <w:link w:val="NormalWeb"/>
    <w:uiPriority w:val="99"/>
    <w:locked/>
    <w:rsid w:val="00D26F00"/>
    <w:rPr>
      <w:rFonts w:ascii="Times New Roman" w:eastAsia="Times New Roman" w:hAnsi="Times New Roman" w:cs="Times New Roman"/>
      <w:sz w:val="24"/>
      <w:szCs w:val="24"/>
      <w:lang w:eastAsia="es-CO"/>
    </w:rPr>
  </w:style>
  <w:style w:type="paragraph" w:styleId="NormalWeb">
    <w:name w:val="Normal (Web)"/>
    <w:basedOn w:val="Normal"/>
    <w:link w:val="NormalWebCar"/>
    <w:uiPriority w:val="99"/>
    <w:unhideWhenUsed/>
    <w:rsid w:val="00D26F00"/>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4C10E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10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920</Words>
  <Characters>5060</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5969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Fernando</cp:lastModifiedBy>
  <cp:revision>4</cp:revision>
  <cp:lastPrinted>2024-04-09T22:14:00Z</cp:lastPrinted>
  <dcterms:created xsi:type="dcterms:W3CDTF">2024-04-11T21:06:00Z</dcterms:created>
  <dcterms:modified xsi:type="dcterms:W3CDTF">2024-05-28T20:19:00Z</dcterms:modified>
</cp:coreProperties>
</file>