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78FC6" w14:textId="77777777" w:rsidR="0055208A" w:rsidRPr="000F5020" w:rsidRDefault="00843894" w:rsidP="0011113B">
      <w:pPr>
        <w:pStyle w:val="Ttulo1"/>
        <w:spacing w:before="120" w:line="240" w:lineRule="auto"/>
        <w:ind w:left="426" w:hanging="426"/>
        <w:rPr>
          <w:rFonts w:cs="Tahoma"/>
          <w:b w:val="0"/>
          <w:sz w:val="22"/>
          <w:szCs w:val="22"/>
        </w:rPr>
      </w:pPr>
      <w:bookmarkStart w:id="0" w:name="_Toc352946302"/>
      <w:r w:rsidRPr="000F5020">
        <w:rPr>
          <w:rFonts w:cs="Tahoma"/>
          <w:b w:val="0"/>
          <w:sz w:val="22"/>
          <w:szCs w:val="22"/>
        </w:rPr>
        <w:t>OBJETIVO</w:t>
      </w:r>
      <w:bookmarkEnd w:id="0"/>
    </w:p>
    <w:p w14:paraId="3AA34F1C" w14:textId="77777777" w:rsidR="007A7EEA" w:rsidRPr="000F5020" w:rsidRDefault="007A7EEA" w:rsidP="0011113B">
      <w:pPr>
        <w:spacing w:before="120" w:after="0" w:line="240" w:lineRule="auto"/>
        <w:rPr>
          <w:rFonts w:cs="Tahoma"/>
          <w:sz w:val="22"/>
        </w:rPr>
      </w:pPr>
      <w:r w:rsidRPr="000F5020">
        <w:rPr>
          <w:rFonts w:cs="Tahoma"/>
          <w:sz w:val="22"/>
        </w:rPr>
        <w:t>Establecer los pasos necesarios para elaboración de los certificados de registro de la deuda pública de las entidades que adquieran endeudamiento y reporte de información al Sistema Estadí</w:t>
      </w:r>
      <w:r w:rsidR="00DA2C7B" w:rsidRPr="000F5020">
        <w:rPr>
          <w:rFonts w:cs="Tahoma"/>
          <w:sz w:val="22"/>
        </w:rPr>
        <w:t xml:space="preserve">stico Unificado de Deuda </w:t>
      </w:r>
      <w:r w:rsidR="002E4EC4" w:rsidRPr="000F5020">
        <w:rPr>
          <w:rFonts w:cs="Tahoma"/>
          <w:sz w:val="22"/>
        </w:rPr>
        <w:t>“</w:t>
      </w:r>
      <w:r w:rsidR="00DA2C7B" w:rsidRPr="000F5020">
        <w:rPr>
          <w:rFonts w:cs="Tahoma"/>
          <w:sz w:val="22"/>
        </w:rPr>
        <w:t>SEUD</w:t>
      </w:r>
      <w:r w:rsidR="002E4EC4" w:rsidRPr="000F5020">
        <w:rPr>
          <w:rFonts w:cs="Tahoma"/>
          <w:sz w:val="22"/>
        </w:rPr>
        <w:t>”</w:t>
      </w:r>
      <w:r w:rsidRPr="000F5020">
        <w:rPr>
          <w:rFonts w:cs="Tahoma"/>
          <w:sz w:val="22"/>
        </w:rPr>
        <w:t>, solicitado por la Contraloría General de la República.</w:t>
      </w:r>
    </w:p>
    <w:p w14:paraId="261EB725" w14:textId="77777777" w:rsidR="00FC14E0" w:rsidRPr="000F5020" w:rsidRDefault="00FC14E0" w:rsidP="0011113B">
      <w:pPr>
        <w:pStyle w:val="Ttulo1"/>
        <w:numPr>
          <w:ilvl w:val="0"/>
          <w:numId w:val="0"/>
        </w:numPr>
        <w:spacing w:before="120" w:line="240" w:lineRule="auto"/>
        <w:rPr>
          <w:rFonts w:cs="Tahoma"/>
          <w:b w:val="0"/>
          <w:sz w:val="22"/>
          <w:szCs w:val="22"/>
        </w:rPr>
      </w:pPr>
    </w:p>
    <w:p w14:paraId="0364D558" w14:textId="77777777" w:rsidR="00FC14E0" w:rsidRPr="000F5020" w:rsidRDefault="00843894" w:rsidP="0011113B">
      <w:pPr>
        <w:pStyle w:val="Ttulo1"/>
        <w:spacing w:before="120" w:line="240" w:lineRule="auto"/>
        <w:ind w:left="426" w:hanging="426"/>
        <w:rPr>
          <w:rFonts w:cs="Tahoma"/>
          <w:b w:val="0"/>
          <w:sz w:val="22"/>
          <w:szCs w:val="22"/>
        </w:rPr>
      </w:pPr>
      <w:bookmarkStart w:id="1" w:name="_Toc352946303"/>
      <w:r w:rsidRPr="000F5020">
        <w:rPr>
          <w:rFonts w:cs="Tahoma"/>
          <w:b w:val="0"/>
          <w:sz w:val="22"/>
          <w:szCs w:val="22"/>
        </w:rPr>
        <w:t>ALCANCE</w:t>
      </w:r>
      <w:bookmarkEnd w:id="1"/>
      <w:r w:rsidR="00FC14E0" w:rsidRPr="000F5020">
        <w:rPr>
          <w:rFonts w:cs="Tahoma"/>
          <w:b w:val="0"/>
          <w:sz w:val="22"/>
          <w:szCs w:val="22"/>
        </w:rPr>
        <w:t xml:space="preserve"> </w:t>
      </w:r>
    </w:p>
    <w:p w14:paraId="4E594EB6" w14:textId="6336DF66" w:rsidR="002E4EC4" w:rsidRPr="000F5020" w:rsidRDefault="002E4EC4" w:rsidP="0011113B">
      <w:pPr>
        <w:pStyle w:val="Encabezado"/>
        <w:tabs>
          <w:tab w:val="left" w:pos="1980"/>
        </w:tabs>
        <w:spacing w:before="120"/>
        <w:rPr>
          <w:rFonts w:cs="Tahoma"/>
          <w:sz w:val="22"/>
        </w:rPr>
      </w:pPr>
      <w:r w:rsidRPr="000F5020">
        <w:rPr>
          <w:rFonts w:cs="Tahoma"/>
          <w:sz w:val="22"/>
        </w:rPr>
        <w:t>Este procedimiento aplica para los funcionarios asignados por el líder del proceso de Con</w:t>
      </w:r>
      <w:r w:rsidR="009B61BF" w:rsidRPr="000F5020">
        <w:rPr>
          <w:rFonts w:cs="Tahoma"/>
          <w:sz w:val="22"/>
        </w:rPr>
        <w:t xml:space="preserve">trol Fiscal o la Alta Dirección; </w:t>
      </w:r>
      <w:r w:rsidRPr="000F5020">
        <w:rPr>
          <w:rFonts w:cs="Tahoma"/>
          <w:sz w:val="22"/>
        </w:rPr>
        <w:t>incluye como primera parte la expedición d</w:t>
      </w:r>
      <w:r w:rsidR="009B61BF" w:rsidRPr="000F5020">
        <w:rPr>
          <w:rFonts w:cs="Tahoma"/>
          <w:sz w:val="22"/>
        </w:rPr>
        <w:t>el registro de la Deuda Pública,</w:t>
      </w:r>
      <w:r w:rsidRPr="000F5020">
        <w:rPr>
          <w:rFonts w:cs="Tahoma"/>
          <w:sz w:val="22"/>
        </w:rPr>
        <w:t xml:space="preserve"> y </w:t>
      </w:r>
      <w:r w:rsidR="009B61BF" w:rsidRPr="000F5020">
        <w:rPr>
          <w:rFonts w:cs="Tahoma"/>
          <w:sz w:val="22"/>
        </w:rPr>
        <w:t xml:space="preserve">a </w:t>
      </w:r>
      <w:r w:rsidRPr="000F5020">
        <w:rPr>
          <w:rFonts w:cs="Tahoma"/>
          <w:sz w:val="22"/>
        </w:rPr>
        <w:t xml:space="preserve">partir de </w:t>
      </w:r>
      <w:r w:rsidR="00AA326E" w:rsidRPr="000F5020">
        <w:rPr>
          <w:rFonts w:cs="Tahoma"/>
          <w:sz w:val="22"/>
        </w:rPr>
        <w:t>ello, de</w:t>
      </w:r>
      <w:r w:rsidRPr="000F5020">
        <w:rPr>
          <w:rFonts w:cs="Tahoma"/>
          <w:sz w:val="22"/>
        </w:rPr>
        <w:t xml:space="preserve"> manera mens</w:t>
      </w:r>
      <w:r w:rsidR="00AA326E">
        <w:rPr>
          <w:rFonts w:cs="Tahoma"/>
          <w:sz w:val="22"/>
        </w:rPr>
        <w:t>ual se consolida la información</w:t>
      </w:r>
      <w:r w:rsidRPr="000F5020">
        <w:rPr>
          <w:rFonts w:cs="Tahoma"/>
          <w:sz w:val="22"/>
        </w:rPr>
        <w:t xml:space="preserve"> que cargan la</w:t>
      </w:r>
      <w:r w:rsidR="009B61BF" w:rsidRPr="000F5020">
        <w:rPr>
          <w:rFonts w:cs="Tahoma"/>
          <w:sz w:val="22"/>
        </w:rPr>
        <w:t>s</w:t>
      </w:r>
      <w:r w:rsidRPr="000F5020">
        <w:rPr>
          <w:rFonts w:cs="Tahoma"/>
          <w:sz w:val="22"/>
        </w:rPr>
        <w:t xml:space="preserve"> entidad</w:t>
      </w:r>
      <w:r w:rsidR="009B61BF" w:rsidRPr="000F5020">
        <w:rPr>
          <w:rFonts w:cs="Tahoma"/>
          <w:sz w:val="22"/>
        </w:rPr>
        <w:t>es</w:t>
      </w:r>
      <w:r w:rsidRPr="000F5020">
        <w:rPr>
          <w:rFonts w:cs="Tahoma"/>
          <w:sz w:val="22"/>
        </w:rPr>
        <w:t xml:space="preserve"> a través del SICOF y se reporta</w:t>
      </w:r>
      <w:r w:rsidR="009B61BF" w:rsidRPr="000F5020">
        <w:rPr>
          <w:rFonts w:cs="Tahoma"/>
          <w:sz w:val="22"/>
        </w:rPr>
        <w:t xml:space="preserve"> trimestralmente a la </w:t>
      </w:r>
      <w:r w:rsidRPr="000F5020">
        <w:rPr>
          <w:rFonts w:cs="Tahoma"/>
          <w:sz w:val="22"/>
        </w:rPr>
        <w:t>Contraloría General de la República</w:t>
      </w:r>
      <w:r w:rsidR="00A54AFB" w:rsidRPr="000F5020">
        <w:rPr>
          <w:rFonts w:cs="Tahoma"/>
          <w:sz w:val="22"/>
        </w:rPr>
        <w:t>.</w:t>
      </w:r>
    </w:p>
    <w:p w14:paraId="532D695E" w14:textId="77777777" w:rsidR="002E4EC4" w:rsidRPr="000F5020" w:rsidRDefault="002E4EC4" w:rsidP="0011113B">
      <w:pPr>
        <w:pStyle w:val="Encabezado"/>
        <w:tabs>
          <w:tab w:val="left" w:pos="1980"/>
        </w:tabs>
        <w:spacing w:before="120"/>
        <w:rPr>
          <w:rFonts w:cs="Tahoma"/>
          <w:sz w:val="22"/>
        </w:rPr>
      </w:pPr>
    </w:p>
    <w:p w14:paraId="10301F68" w14:textId="77777777" w:rsidR="0011113B" w:rsidRPr="000F5020" w:rsidRDefault="0011113B" w:rsidP="0011113B">
      <w:pPr>
        <w:pStyle w:val="Ttulo1"/>
        <w:spacing w:before="120" w:line="240" w:lineRule="auto"/>
        <w:ind w:left="426" w:hanging="426"/>
        <w:rPr>
          <w:rFonts w:cs="Tahoma"/>
          <w:b w:val="0"/>
          <w:sz w:val="22"/>
          <w:szCs w:val="22"/>
        </w:rPr>
      </w:pPr>
      <w:bookmarkStart w:id="2" w:name="_Toc352946304"/>
      <w:r w:rsidRPr="000F5020">
        <w:rPr>
          <w:rFonts w:cs="Tahoma"/>
          <w:b w:val="0"/>
          <w:sz w:val="22"/>
          <w:szCs w:val="22"/>
        </w:rPr>
        <w:t>DESARROLLO</w:t>
      </w:r>
    </w:p>
    <w:p w14:paraId="21318D9C" w14:textId="77777777" w:rsidR="006A000E" w:rsidRPr="000F5020" w:rsidRDefault="006A000E" w:rsidP="006A000E">
      <w:pPr>
        <w:rPr>
          <w:rFonts w:cs="Tahoma"/>
          <w:sz w:val="22"/>
        </w:rPr>
      </w:pPr>
    </w:p>
    <w:p w14:paraId="05124F53" w14:textId="77777777" w:rsidR="0011113B" w:rsidRPr="000F5020" w:rsidRDefault="0011113B" w:rsidP="0011113B">
      <w:pPr>
        <w:pStyle w:val="Ttulo1"/>
        <w:numPr>
          <w:ilvl w:val="1"/>
          <w:numId w:val="1"/>
        </w:numPr>
        <w:spacing w:before="120" w:line="240" w:lineRule="auto"/>
        <w:ind w:left="426" w:hanging="426"/>
        <w:rPr>
          <w:rFonts w:cs="Tahoma"/>
          <w:b w:val="0"/>
          <w:sz w:val="22"/>
          <w:szCs w:val="22"/>
        </w:rPr>
      </w:pPr>
      <w:r w:rsidRPr="000F5020">
        <w:rPr>
          <w:rFonts w:cs="Tahoma"/>
          <w:b w:val="0"/>
          <w:sz w:val="22"/>
          <w:szCs w:val="22"/>
        </w:rPr>
        <w:t>Base Legal</w:t>
      </w:r>
    </w:p>
    <w:p w14:paraId="2A79D8BA" w14:textId="77777777" w:rsidR="009D0278" w:rsidRPr="000F5020" w:rsidRDefault="009D0278" w:rsidP="009D0278">
      <w:pPr>
        <w:spacing w:after="0"/>
        <w:rPr>
          <w:rFonts w:cs="Tahoma"/>
          <w:sz w:val="22"/>
        </w:rPr>
      </w:pPr>
    </w:p>
    <w:p w14:paraId="62B6231F" w14:textId="77777777" w:rsidR="000F5020" w:rsidRPr="000F5020" w:rsidRDefault="009D0278" w:rsidP="009D0278">
      <w:pPr>
        <w:spacing w:after="0"/>
        <w:rPr>
          <w:rFonts w:cs="Tahoma"/>
          <w:sz w:val="22"/>
        </w:rPr>
      </w:pPr>
      <w:r w:rsidRPr="000F5020">
        <w:rPr>
          <w:rFonts w:cs="Tahoma"/>
          <w:sz w:val="22"/>
        </w:rPr>
        <w:t>Resolución 254 de 2013</w:t>
      </w:r>
      <w:r w:rsidR="00A54AFB" w:rsidRPr="000F5020">
        <w:rPr>
          <w:rFonts w:cs="Tahoma"/>
          <w:sz w:val="22"/>
        </w:rPr>
        <w:t>, con sus modificatorias</w:t>
      </w:r>
    </w:p>
    <w:p w14:paraId="79C58338" w14:textId="006E5859" w:rsidR="009D0278" w:rsidRPr="000F5020" w:rsidRDefault="009D0278" w:rsidP="009D0278">
      <w:pPr>
        <w:spacing w:after="0"/>
        <w:rPr>
          <w:rFonts w:cs="Tahoma"/>
          <w:sz w:val="22"/>
        </w:rPr>
      </w:pPr>
      <w:r w:rsidRPr="000F5020">
        <w:rPr>
          <w:rFonts w:cs="Tahoma"/>
          <w:sz w:val="22"/>
        </w:rPr>
        <w:t>Resolución 337 de 2016</w:t>
      </w:r>
      <w:r w:rsidR="00A54AFB" w:rsidRPr="000F5020">
        <w:rPr>
          <w:rFonts w:cs="Tahoma"/>
          <w:sz w:val="22"/>
        </w:rPr>
        <w:t>, con sus modificatorias</w:t>
      </w:r>
    </w:p>
    <w:p w14:paraId="528C26DA" w14:textId="243FFA04" w:rsidR="00A54AFB" w:rsidRPr="000F5020" w:rsidRDefault="00A54AFB" w:rsidP="009D0278">
      <w:pPr>
        <w:spacing w:after="0"/>
        <w:rPr>
          <w:rFonts w:cs="Tahoma"/>
          <w:sz w:val="22"/>
        </w:rPr>
      </w:pPr>
      <w:r w:rsidRPr="000F5020">
        <w:rPr>
          <w:rFonts w:cs="Tahoma"/>
          <w:sz w:val="22"/>
        </w:rPr>
        <w:t>Resolución 143 de 2017 con sus modificatorias</w:t>
      </w:r>
    </w:p>
    <w:p w14:paraId="2947FA6D" w14:textId="77777777" w:rsidR="0011113B" w:rsidRPr="000F5020" w:rsidRDefault="0011113B" w:rsidP="0011113B">
      <w:pPr>
        <w:pStyle w:val="Ttulo1"/>
        <w:numPr>
          <w:ilvl w:val="1"/>
          <w:numId w:val="1"/>
        </w:numPr>
        <w:spacing w:before="120" w:line="240" w:lineRule="auto"/>
        <w:ind w:left="426" w:hanging="426"/>
        <w:rPr>
          <w:rFonts w:cs="Tahoma"/>
          <w:b w:val="0"/>
          <w:sz w:val="22"/>
          <w:szCs w:val="22"/>
        </w:rPr>
      </w:pPr>
      <w:r w:rsidRPr="000F5020">
        <w:rPr>
          <w:rFonts w:cs="Tahoma"/>
          <w:b w:val="0"/>
          <w:sz w:val="22"/>
          <w:szCs w:val="22"/>
        </w:rPr>
        <w:t>Definiciones</w:t>
      </w:r>
    </w:p>
    <w:p w14:paraId="495EDD79" w14:textId="77777777" w:rsidR="0011113B" w:rsidRPr="000F5020" w:rsidRDefault="0011113B" w:rsidP="0011113B">
      <w:pPr>
        <w:spacing w:before="120" w:after="0" w:line="240" w:lineRule="auto"/>
        <w:rPr>
          <w:rFonts w:cs="Tahoma"/>
          <w:sz w:val="22"/>
        </w:rPr>
      </w:pPr>
      <w:r w:rsidRPr="000F5020">
        <w:rPr>
          <w:rFonts w:cs="Tahoma"/>
          <w:sz w:val="22"/>
        </w:rPr>
        <w:t>Contenidas en la Resolución 254 de 2013 de la Contraloría Departamental del Tolima, que establece la rend</w:t>
      </w:r>
      <w:r w:rsidR="00A860B5" w:rsidRPr="000F5020">
        <w:rPr>
          <w:rFonts w:cs="Tahoma"/>
          <w:sz w:val="22"/>
        </w:rPr>
        <w:t>ición de la cuenta, artículo 15 y</w:t>
      </w:r>
      <w:r w:rsidR="009D0278" w:rsidRPr="000F5020">
        <w:rPr>
          <w:rFonts w:cs="Tahoma"/>
          <w:sz w:val="22"/>
        </w:rPr>
        <w:t xml:space="preserve"> Resolución</w:t>
      </w:r>
      <w:r w:rsidR="00A860B5" w:rsidRPr="000F5020">
        <w:rPr>
          <w:rFonts w:cs="Tahoma"/>
          <w:sz w:val="22"/>
        </w:rPr>
        <w:t xml:space="preserve"> 337 de </w:t>
      </w:r>
      <w:r w:rsidR="009D0278" w:rsidRPr="000F5020">
        <w:rPr>
          <w:rFonts w:cs="Tahoma"/>
          <w:sz w:val="22"/>
        </w:rPr>
        <w:t>2016</w:t>
      </w:r>
    </w:p>
    <w:p w14:paraId="5763356F" w14:textId="77777777" w:rsidR="00E8407D" w:rsidRPr="000F5020" w:rsidRDefault="0011113B" w:rsidP="0011113B">
      <w:pPr>
        <w:pStyle w:val="Ttulo1"/>
        <w:numPr>
          <w:ilvl w:val="1"/>
          <w:numId w:val="1"/>
        </w:numPr>
        <w:spacing w:before="120" w:line="240" w:lineRule="auto"/>
        <w:ind w:left="426" w:hanging="426"/>
        <w:rPr>
          <w:rFonts w:cs="Tahoma"/>
          <w:b w:val="0"/>
          <w:sz w:val="22"/>
          <w:szCs w:val="22"/>
        </w:rPr>
      </w:pPr>
      <w:r w:rsidRPr="000F5020">
        <w:rPr>
          <w:rFonts w:cs="Tahoma"/>
          <w:b w:val="0"/>
          <w:sz w:val="22"/>
          <w:szCs w:val="22"/>
        </w:rPr>
        <w:t>Generalidades</w:t>
      </w:r>
      <w:bookmarkEnd w:id="2"/>
    </w:p>
    <w:p w14:paraId="3E616176" w14:textId="77777777" w:rsidR="009D0278" w:rsidRPr="000F5020" w:rsidRDefault="009D0278" w:rsidP="0011113B">
      <w:pPr>
        <w:spacing w:before="120" w:after="0" w:line="240" w:lineRule="auto"/>
        <w:rPr>
          <w:rFonts w:cs="Tahoma"/>
          <w:sz w:val="22"/>
        </w:rPr>
      </w:pPr>
      <w:r w:rsidRPr="000F5020">
        <w:rPr>
          <w:rFonts w:cs="Tahoma"/>
          <w:sz w:val="22"/>
        </w:rPr>
        <w:t>De acuerdo con la Ley 80 de 1993 y el Decreto 2681 del mismo año, las operaciones de crédito público se definen como los actos o contratos que tienen por objeto dotar a la entidad estatal de recursos, bienes o servicios con plazo para su pago o aquellas mediante las cuales la entidad actúa como deudor solidario o garante de obligaciones de pago. Dentro de estas operaciones están comprendidas la contratación de empréstitos, la emisión, suscripción y colocación de títulos de deuda pública, los créditos de proveedores y el otorgamiento de garantías para obligaciones de pago a cargo de entidades estatales.</w:t>
      </w:r>
    </w:p>
    <w:p w14:paraId="38E4BA05" w14:textId="11D41BD9" w:rsidR="001C054C" w:rsidRPr="000F5020" w:rsidRDefault="007C436A" w:rsidP="0011113B">
      <w:pPr>
        <w:spacing w:before="120" w:after="0" w:line="240" w:lineRule="auto"/>
        <w:rPr>
          <w:rFonts w:cs="Tahoma"/>
          <w:sz w:val="22"/>
        </w:rPr>
      </w:pPr>
      <w:r w:rsidRPr="000F5020">
        <w:rPr>
          <w:rFonts w:cs="Tahoma"/>
          <w:sz w:val="22"/>
        </w:rPr>
        <w:t>En</w:t>
      </w:r>
      <w:r w:rsidR="001C054C" w:rsidRPr="000F5020">
        <w:rPr>
          <w:rFonts w:cs="Tahoma"/>
          <w:sz w:val="22"/>
        </w:rPr>
        <w:t xml:space="preserve"> el Departamento del Tolima</w:t>
      </w:r>
      <w:r w:rsidRPr="000F5020">
        <w:rPr>
          <w:rFonts w:cs="Tahoma"/>
          <w:sz w:val="22"/>
        </w:rPr>
        <w:t xml:space="preserve"> el crédito interno se compone de</w:t>
      </w:r>
      <w:r w:rsidR="001C054C" w:rsidRPr="000F5020">
        <w:rPr>
          <w:rFonts w:cs="Tahoma"/>
          <w:sz w:val="22"/>
        </w:rPr>
        <w:t xml:space="preserve"> operaciones de </w:t>
      </w:r>
      <w:r w:rsidR="00F97678" w:rsidRPr="000F5020">
        <w:rPr>
          <w:rFonts w:cs="Tahoma"/>
          <w:sz w:val="22"/>
        </w:rPr>
        <w:t>crédito público</w:t>
      </w:r>
      <w:r w:rsidR="001C054C" w:rsidRPr="000F5020">
        <w:rPr>
          <w:rFonts w:cs="Tahoma"/>
          <w:sz w:val="22"/>
        </w:rPr>
        <w:t xml:space="preserve"> con un plazo mayor a un año, dentro de estas se encuentran comprendidas: el endeudamiento, la refinanciación, reestructuración y renegociación entre otras.</w:t>
      </w:r>
    </w:p>
    <w:p w14:paraId="39C1169A" w14:textId="19BC7456" w:rsidR="001C054C" w:rsidRPr="000F5020" w:rsidRDefault="001C054C" w:rsidP="0011113B">
      <w:pPr>
        <w:spacing w:before="120" w:after="0" w:line="240" w:lineRule="auto"/>
        <w:rPr>
          <w:rFonts w:cs="Tahoma"/>
          <w:sz w:val="22"/>
        </w:rPr>
      </w:pPr>
      <w:r w:rsidRPr="000F5020">
        <w:rPr>
          <w:rFonts w:cs="Tahoma"/>
          <w:sz w:val="22"/>
        </w:rPr>
        <w:lastRenderedPageBreak/>
        <w:t xml:space="preserve">En este sentido, el endeudamiento del sector público debe dirigirse al financiamiento de actividades que sean </w:t>
      </w:r>
      <w:r w:rsidR="00F97678" w:rsidRPr="000F5020">
        <w:rPr>
          <w:rFonts w:cs="Tahoma"/>
          <w:sz w:val="22"/>
        </w:rPr>
        <w:t>prioritarias desde</w:t>
      </w:r>
      <w:r w:rsidRPr="000F5020">
        <w:rPr>
          <w:rFonts w:cs="Tahoma"/>
          <w:sz w:val="22"/>
        </w:rPr>
        <w:t xml:space="preserve"> el punto de vista técnico, económico y social, y que tengan un alto impacto en las metas del desarrollo sectorial y regional.</w:t>
      </w:r>
    </w:p>
    <w:p w14:paraId="0E99638C" w14:textId="77777777" w:rsidR="00A54AFB" w:rsidRPr="000F5020" w:rsidRDefault="00A54AFB" w:rsidP="0011113B">
      <w:pPr>
        <w:spacing w:before="120" w:after="0" w:line="240" w:lineRule="auto"/>
        <w:rPr>
          <w:rFonts w:cs="Tahoma"/>
          <w:sz w:val="22"/>
        </w:rPr>
      </w:pPr>
    </w:p>
    <w:p w14:paraId="3F8CE20B" w14:textId="77777777" w:rsidR="00E8407D" w:rsidRPr="000F5020" w:rsidRDefault="0011113B" w:rsidP="0011113B">
      <w:pPr>
        <w:pStyle w:val="Ttulo1"/>
        <w:spacing w:before="120" w:line="240" w:lineRule="auto"/>
        <w:ind w:left="426" w:hanging="426"/>
        <w:rPr>
          <w:rFonts w:cs="Tahoma"/>
          <w:b w:val="0"/>
          <w:sz w:val="22"/>
          <w:szCs w:val="22"/>
        </w:rPr>
      </w:pPr>
      <w:r w:rsidRPr="000F5020">
        <w:rPr>
          <w:rFonts w:cs="Tahoma"/>
          <w:b w:val="0"/>
          <w:sz w:val="22"/>
          <w:szCs w:val="22"/>
        </w:rPr>
        <w:t>DESCRIPCIÓN DEL PROCEDIMIENTO</w:t>
      </w:r>
    </w:p>
    <w:p w14:paraId="1AC8A082" w14:textId="77777777" w:rsidR="007E3ADB" w:rsidRPr="000F5020" w:rsidRDefault="007E3ADB" w:rsidP="0011113B">
      <w:pPr>
        <w:spacing w:before="120" w:after="0" w:line="240" w:lineRule="auto"/>
        <w:rPr>
          <w:rFonts w:cs="Tahoma"/>
          <w:sz w:val="22"/>
        </w:rPr>
      </w:pPr>
      <w:r w:rsidRPr="000F5020">
        <w:rPr>
          <w:rFonts w:cs="Tahoma"/>
          <w:sz w:val="22"/>
        </w:rPr>
        <w:t xml:space="preserve">4.1. </w:t>
      </w:r>
      <w:r w:rsidR="0011113B" w:rsidRPr="000F5020">
        <w:rPr>
          <w:rFonts w:cs="Tahoma"/>
          <w:sz w:val="22"/>
        </w:rPr>
        <w:t>Elaboración Del Certificado De Registro De Deuda Pública</w:t>
      </w:r>
      <w:r w:rsidR="009A7AF7" w:rsidRPr="000F5020">
        <w:rPr>
          <w:rFonts w:cs="Tahoma"/>
          <w:sz w:val="22"/>
        </w:rPr>
        <w:t xml:space="preserve">  </w:t>
      </w:r>
    </w:p>
    <w:p w14:paraId="1DC24CE8" w14:textId="77777777" w:rsidR="009A7AF7" w:rsidRPr="000F5020" w:rsidRDefault="009A7AF7" w:rsidP="0011113B">
      <w:pPr>
        <w:spacing w:before="120" w:after="0" w:line="240" w:lineRule="auto"/>
        <w:rPr>
          <w:rFonts w:cs="Tahoma"/>
          <w:sz w:val="22"/>
        </w:rPr>
      </w:pP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591"/>
        <w:gridCol w:w="4959"/>
        <w:gridCol w:w="1837"/>
        <w:gridCol w:w="1667"/>
      </w:tblGrid>
      <w:tr w:rsidR="000F5020" w:rsidRPr="000F5020" w14:paraId="04CCBBE5" w14:textId="77777777" w:rsidTr="009053D5">
        <w:trPr>
          <w:tblHeader/>
        </w:trPr>
        <w:tc>
          <w:tcPr>
            <w:tcW w:w="557" w:type="dxa"/>
            <w:vAlign w:val="center"/>
          </w:tcPr>
          <w:p w14:paraId="420D242B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5363" w:type="dxa"/>
            <w:vAlign w:val="center"/>
          </w:tcPr>
          <w:p w14:paraId="0D314ED4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ACTIVIDAD</w:t>
            </w:r>
          </w:p>
        </w:tc>
        <w:tc>
          <w:tcPr>
            <w:tcW w:w="1701" w:type="dxa"/>
            <w:vAlign w:val="center"/>
          </w:tcPr>
          <w:p w14:paraId="37A9E040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RESPONSABLE</w:t>
            </w:r>
          </w:p>
        </w:tc>
        <w:tc>
          <w:tcPr>
            <w:tcW w:w="1433" w:type="dxa"/>
            <w:vAlign w:val="center"/>
          </w:tcPr>
          <w:p w14:paraId="0B0CCACC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DOCUMENTO DE REFERENCIA</w:t>
            </w:r>
          </w:p>
        </w:tc>
      </w:tr>
      <w:tr w:rsidR="000F5020" w:rsidRPr="000F5020" w14:paraId="3C1A16AB" w14:textId="77777777" w:rsidTr="009053D5">
        <w:tc>
          <w:tcPr>
            <w:tcW w:w="557" w:type="dxa"/>
            <w:vAlign w:val="center"/>
          </w:tcPr>
          <w:p w14:paraId="3D50F41E" w14:textId="77777777" w:rsidR="009053D5" w:rsidRPr="000F5020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65B1F804" w14:textId="77777777" w:rsidR="009053D5" w:rsidRPr="000F5020" w:rsidRDefault="009053D5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Recibir la solicitud de  registro y operaciones de manejo  de la deuda pública  con la documentación que soporta la legalización de la obligación o reestructuración debidamente radicado en Ventanilla Única de Secretaría General de la Contraloría</w:t>
            </w:r>
          </w:p>
        </w:tc>
        <w:tc>
          <w:tcPr>
            <w:tcW w:w="1701" w:type="dxa"/>
            <w:vMerge w:val="restart"/>
            <w:vAlign w:val="center"/>
          </w:tcPr>
          <w:p w14:paraId="7784987A" w14:textId="77777777" w:rsidR="009053D5" w:rsidRPr="000F5020" w:rsidRDefault="009053D5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Director de Control Fiscal y Medio Ambiente</w:t>
            </w:r>
          </w:p>
        </w:tc>
        <w:tc>
          <w:tcPr>
            <w:tcW w:w="1433" w:type="dxa"/>
            <w:vMerge w:val="restart"/>
            <w:vAlign w:val="center"/>
          </w:tcPr>
          <w:p w14:paraId="34DA7728" w14:textId="77777777" w:rsidR="009053D5" w:rsidRPr="000F5020" w:rsidRDefault="009053D5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Documentos del sujeto de control</w:t>
            </w:r>
          </w:p>
        </w:tc>
      </w:tr>
      <w:tr w:rsidR="000F5020" w:rsidRPr="000F5020" w14:paraId="62DF27D6" w14:textId="77777777" w:rsidTr="009053D5">
        <w:tc>
          <w:tcPr>
            <w:tcW w:w="557" w:type="dxa"/>
            <w:vAlign w:val="center"/>
          </w:tcPr>
          <w:p w14:paraId="4FE46F7E" w14:textId="77777777" w:rsidR="009053D5" w:rsidRPr="000F5020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099618A8" w14:textId="77777777" w:rsidR="009053D5" w:rsidRPr="000F5020" w:rsidRDefault="009053D5" w:rsidP="009053D5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  <w:lang w:val="es-ES"/>
              </w:rPr>
              <w:t xml:space="preserve">Remitir </w:t>
            </w:r>
            <w:r w:rsidRPr="000F5020">
              <w:rPr>
                <w:rFonts w:cs="Tahoma"/>
                <w:sz w:val="22"/>
                <w:szCs w:val="22"/>
              </w:rPr>
              <w:t>al  funcionario asignado para la evaluación, el seguimiento y registro según la solicitud de la entidad</w:t>
            </w:r>
          </w:p>
        </w:tc>
        <w:tc>
          <w:tcPr>
            <w:tcW w:w="1701" w:type="dxa"/>
            <w:vMerge/>
            <w:vAlign w:val="center"/>
          </w:tcPr>
          <w:p w14:paraId="5E3C9D60" w14:textId="77777777" w:rsidR="009053D5" w:rsidRPr="000F5020" w:rsidRDefault="009053D5" w:rsidP="009053D5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</w:p>
        </w:tc>
        <w:tc>
          <w:tcPr>
            <w:tcW w:w="1433" w:type="dxa"/>
            <w:vMerge/>
            <w:vAlign w:val="center"/>
          </w:tcPr>
          <w:p w14:paraId="566E5C7E" w14:textId="77777777" w:rsidR="009053D5" w:rsidRPr="000F5020" w:rsidRDefault="009053D5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</w:p>
        </w:tc>
      </w:tr>
      <w:tr w:rsidR="000F5020" w:rsidRPr="000F5020" w14:paraId="69F3B612" w14:textId="77777777" w:rsidTr="009053D5">
        <w:tc>
          <w:tcPr>
            <w:tcW w:w="557" w:type="dxa"/>
            <w:vAlign w:val="center"/>
          </w:tcPr>
          <w:p w14:paraId="26082352" w14:textId="77777777" w:rsidR="009053D5" w:rsidRPr="000F5020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213FCDD1" w14:textId="77777777" w:rsidR="009053D5" w:rsidRPr="000F5020" w:rsidRDefault="009053D5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Evaluar  y verificar la información reportada por el sujeto de control,  establecer si cumplen con lo normado y con los requisitos exigidos para expedición del Certificado de Registro de Deuda Publica  </w:t>
            </w:r>
          </w:p>
        </w:tc>
        <w:tc>
          <w:tcPr>
            <w:tcW w:w="1701" w:type="dxa"/>
            <w:vMerge w:val="restart"/>
            <w:vAlign w:val="center"/>
          </w:tcPr>
          <w:p w14:paraId="27C79A47" w14:textId="77777777" w:rsidR="009053D5" w:rsidRPr="000F5020" w:rsidRDefault="009053D5" w:rsidP="009053D5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Funcionario Asignado del proceso CF Asignado</w:t>
            </w:r>
          </w:p>
        </w:tc>
        <w:tc>
          <w:tcPr>
            <w:tcW w:w="1433" w:type="dxa"/>
            <w:vAlign w:val="center"/>
          </w:tcPr>
          <w:p w14:paraId="2F7656FB" w14:textId="77777777" w:rsidR="009053D5" w:rsidRPr="000F5020" w:rsidRDefault="009053D5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Resolución de rendición de cuentas CDT</w:t>
            </w:r>
          </w:p>
        </w:tc>
      </w:tr>
      <w:tr w:rsidR="000F5020" w:rsidRPr="000F5020" w14:paraId="72969C52" w14:textId="77777777" w:rsidTr="009053D5">
        <w:tc>
          <w:tcPr>
            <w:tcW w:w="557" w:type="dxa"/>
            <w:vAlign w:val="center"/>
          </w:tcPr>
          <w:p w14:paraId="459CB70A" w14:textId="77777777" w:rsidR="002E4EC4" w:rsidRPr="000F5020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2826E70E" w14:textId="531CE26D" w:rsidR="002E4EC4" w:rsidRPr="000F5020" w:rsidRDefault="002E4EC4" w:rsidP="00567BBC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Elaborar el Certificado de Registro</w:t>
            </w:r>
            <w:r w:rsidR="00DA39EB" w:rsidRPr="000F5020">
              <w:rPr>
                <w:rFonts w:cs="Tahoma"/>
                <w:sz w:val="22"/>
                <w:szCs w:val="22"/>
              </w:rPr>
              <w:t xml:space="preserve"> inicial de Deuda, de refinanciación, reestructuración o renegociación de la deuda  y remitir al Director Técnico de Control Fiscal y Medio Ambiente para su revisión</w:t>
            </w:r>
            <w:r w:rsidRPr="000F5020">
              <w:rPr>
                <w:rFonts w:cs="Tahoma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vMerge/>
            <w:vAlign w:val="center"/>
          </w:tcPr>
          <w:p w14:paraId="777AD78E" w14:textId="77777777" w:rsidR="002E4EC4" w:rsidRPr="000F5020" w:rsidRDefault="002E4EC4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14:paraId="3EAC49C3" w14:textId="77777777" w:rsidR="002E4EC4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RCF-36</w:t>
            </w:r>
          </w:p>
        </w:tc>
      </w:tr>
      <w:tr w:rsidR="000F5020" w:rsidRPr="000F5020" w14:paraId="7C31C1D0" w14:textId="77777777" w:rsidTr="009053D5">
        <w:tc>
          <w:tcPr>
            <w:tcW w:w="557" w:type="dxa"/>
            <w:vAlign w:val="center"/>
          </w:tcPr>
          <w:p w14:paraId="16F7F7DE" w14:textId="77777777" w:rsidR="009053D5" w:rsidRPr="000F5020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41ECBFB6" w14:textId="77777777" w:rsidR="009053D5" w:rsidRPr="000F5020" w:rsidRDefault="009053D5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Revisar y proponer ajustes al certificado en trámite , si es el caso</w:t>
            </w:r>
          </w:p>
        </w:tc>
        <w:tc>
          <w:tcPr>
            <w:tcW w:w="1701" w:type="dxa"/>
            <w:vAlign w:val="center"/>
          </w:tcPr>
          <w:p w14:paraId="32838E92" w14:textId="77777777" w:rsidR="009053D5" w:rsidRPr="000F5020" w:rsidRDefault="002E4EC4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Director de Control Fiscal y Medio Ambiente</w:t>
            </w:r>
          </w:p>
        </w:tc>
        <w:tc>
          <w:tcPr>
            <w:tcW w:w="1433" w:type="dxa"/>
            <w:vAlign w:val="center"/>
          </w:tcPr>
          <w:p w14:paraId="7C014EA0" w14:textId="77777777" w:rsidR="009053D5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Documentos del sujeto de control</w:t>
            </w:r>
          </w:p>
          <w:p w14:paraId="59325D4A" w14:textId="77777777" w:rsidR="002E4EC4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RCF-36</w:t>
            </w:r>
          </w:p>
        </w:tc>
      </w:tr>
      <w:tr w:rsidR="000F5020" w:rsidRPr="000F5020" w14:paraId="22439B94" w14:textId="77777777" w:rsidTr="009053D5">
        <w:tc>
          <w:tcPr>
            <w:tcW w:w="557" w:type="dxa"/>
            <w:vAlign w:val="center"/>
          </w:tcPr>
          <w:p w14:paraId="1BE531EA" w14:textId="77777777" w:rsidR="002E4EC4" w:rsidRPr="000F5020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42B8A078" w14:textId="77777777" w:rsidR="002E4EC4" w:rsidRPr="000F5020" w:rsidRDefault="002E4EC4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Efectuar las modificaciones y los ajustes sugeridas por el Director Técnico de Control Fiscal y Medio Ambiente </w:t>
            </w:r>
          </w:p>
        </w:tc>
        <w:tc>
          <w:tcPr>
            <w:tcW w:w="1701" w:type="dxa"/>
            <w:vMerge w:val="restart"/>
            <w:vAlign w:val="center"/>
          </w:tcPr>
          <w:p w14:paraId="3FF0F9DB" w14:textId="77777777" w:rsidR="002E4EC4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Funcionario Asignado del proceso CF Asignado</w:t>
            </w:r>
          </w:p>
        </w:tc>
        <w:tc>
          <w:tcPr>
            <w:tcW w:w="1433" w:type="dxa"/>
            <w:vAlign w:val="center"/>
          </w:tcPr>
          <w:p w14:paraId="1AAE0D5E" w14:textId="77777777" w:rsidR="002E4EC4" w:rsidRPr="000F5020" w:rsidRDefault="002E4EC4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RCF-36</w:t>
            </w:r>
          </w:p>
        </w:tc>
      </w:tr>
      <w:tr w:rsidR="000F5020" w:rsidRPr="000F5020" w14:paraId="55AABD4E" w14:textId="77777777" w:rsidTr="009053D5">
        <w:tc>
          <w:tcPr>
            <w:tcW w:w="557" w:type="dxa"/>
            <w:vAlign w:val="center"/>
          </w:tcPr>
          <w:p w14:paraId="16B43ABC" w14:textId="77777777" w:rsidR="002E4EC4" w:rsidRPr="000F5020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1B3DFA18" w14:textId="77777777" w:rsidR="002E4EC4" w:rsidRPr="000F5020" w:rsidRDefault="002E4EC4" w:rsidP="002E4EC4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Remitir al Despacho del Contralor </w:t>
            </w:r>
          </w:p>
        </w:tc>
        <w:tc>
          <w:tcPr>
            <w:tcW w:w="1701" w:type="dxa"/>
            <w:vMerge/>
            <w:vAlign w:val="center"/>
          </w:tcPr>
          <w:p w14:paraId="33B01C3F" w14:textId="77777777" w:rsidR="002E4EC4" w:rsidRPr="000F5020" w:rsidRDefault="002E4EC4" w:rsidP="0011113B">
            <w:pPr>
              <w:spacing w:before="120"/>
              <w:rPr>
                <w:rFonts w:cs="Tahoma"/>
                <w:sz w:val="22"/>
                <w:szCs w:val="22"/>
              </w:rPr>
            </w:pPr>
          </w:p>
        </w:tc>
        <w:tc>
          <w:tcPr>
            <w:tcW w:w="1433" w:type="dxa"/>
            <w:vMerge w:val="restart"/>
            <w:vAlign w:val="center"/>
          </w:tcPr>
          <w:p w14:paraId="06387934" w14:textId="77777777" w:rsidR="002E4EC4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Documentos </w:t>
            </w:r>
            <w:r w:rsidRPr="000F5020">
              <w:rPr>
                <w:rFonts w:cs="Tahoma"/>
                <w:sz w:val="22"/>
                <w:szCs w:val="22"/>
              </w:rPr>
              <w:lastRenderedPageBreak/>
              <w:t>del sujeto de control</w:t>
            </w:r>
          </w:p>
          <w:p w14:paraId="3F8E6AFA" w14:textId="77777777" w:rsidR="002E4EC4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RCF-36</w:t>
            </w:r>
          </w:p>
        </w:tc>
      </w:tr>
      <w:tr w:rsidR="000F5020" w:rsidRPr="000F5020" w14:paraId="1D3D7B00" w14:textId="77777777" w:rsidTr="009053D5">
        <w:tc>
          <w:tcPr>
            <w:tcW w:w="557" w:type="dxa"/>
            <w:vAlign w:val="center"/>
          </w:tcPr>
          <w:p w14:paraId="122D33ED" w14:textId="77777777" w:rsidR="002E4EC4" w:rsidRPr="000F5020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6B2DD5B9" w14:textId="77777777" w:rsidR="002E4EC4" w:rsidRPr="000F5020" w:rsidRDefault="002E4EC4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Revisar y proponer ajustes al certificado en trámite , si es el caso</w:t>
            </w:r>
          </w:p>
        </w:tc>
        <w:tc>
          <w:tcPr>
            <w:tcW w:w="1701" w:type="dxa"/>
            <w:vAlign w:val="center"/>
          </w:tcPr>
          <w:p w14:paraId="586D171D" w14:textId="77777777" w:rsidR="002E4EC4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Contralor(a)</w:t>
            </w:r>
          </w:p>
        </w:tc>
        <w:tc>
          <w:tcPr>
            <w:tcW w:w="1433" w:type="dxa"/>
            <w:vMerge/>
          </w:tcPr>
          <w:p w14:paraId="6C1C8594" w14:textId="77777777" w:rsidR="002E4EC4" w:rsidRPr="000F5020" w:rsidRDefault="002E4EC4" w:rsidP="0011113B">
            <w:pPr>
              <w:spacing w:before="120"/>
              <w:rPr>
                <w:rFonts w:cs="Tahoma"/>
                <w:sz w:val="22"/>
                <w:szCs w:val="22"/>
              </w:rPr>
            </w:pPr>
          </w:p>
        </w:tc>
      </w:tr>
      <w:tr w:rsidR="000F5020" w:rsidRPr="000F5020" w14:paraId="6D31552A" w14:textId="77777777" w:rsidTr="009053D5">
        <w:tc>
          <w:tcPr>
            <w:tcW w:w="557" w:type="dxa"/>
            <w:vAlign w:val="center"/>
          </w:tcPr>
          <w:p w14:paraId="5AA468C5" w14:textId="77777777" w:rsidR="009053D5" w:rsidRPr="000F5020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70542920" w14:textId="16274F22" w:rsidR="009053D5" w:rsidRPr="000F5020" w:rsidRDefault="009053D5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Remitir las copias del Certificado de Registro de Deuda P</w:t>
            </w:r>
            <w:r w:rsidR="00524B41" w:rsidRPr="000F5020">
              <w:rPr>
                <w:rFonts w:cs="Tahoma"/>
                <w:sz w:val="22"/>
                <w:szCs w:val="22"/>
              </w:rPr>
              <w:t>ú</w:t>
            </w:r>
            <w:r w:rsidRPr="000F5020">
              <w:rPr>
                <w:rFonts w:cs="Tahoma"/>
                <w:sz w:val="22"/>
                <w:szCs w:val="22"/>
              </w:rPr>
              <w:t xml:space="preserve">blica y el original a la entidad a través de ventanilla única  </w:t>
            </w:r>
          </w:p>
        </w:tc>
        <w:tc>
          <w:tcPr>
            <w:tcW w:w="1701" w:type="dxa"/>
            <w:vMerge w:val="restart"/>
            <w:vAlign w:val="center"/>
          </w:tcPr>
          <w:p w14:paraId="67BAAF7A" w14:textId="77777777" w:rsidR="009053D5" w:rsidRPr="000F5020" w:rsidRDefault="002E4EC4" w:rsidP="002E4EC4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Funcionario Asignado del proceso CF </w:t>
            </w:r>
            <w:r w:rsidR="009E0D33" w:rsidRPr="000F5020">
              <w:rPr>
                <w:rFonts w:cs="Tahoma"/>
                <w:sz w:val="22"/>
                <w:szCs w:val="22"/>
              </w:rPr>
              <w:t xml:space="preserve"> </w:t>
            </w:r>
          </w:p>
        </w:tc>
        <w:tc>
          <w:tcPr>
            <w:tcW w:w="1433" w:type="dxa"/>
          </w:tcPr>
          <w:p w14:paraId="7FEAC916" w14:textId="77777777" w:rsidR="009053D5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RCF-36</w:t>
            </w:r>
          </w:p>
        </w:tc>
      </w:tr>
      <w:tr w:rsidR="000F5020" w:rsidRPr="000F5020" w14:paraId="7086158D" w14:textId="77777777" w:rsidTr="009053D5">
        <w:tc>
          <w:tcPr>
            <w:tcW w:w="557" w:type="dxa"/>
            <w:vAlign w:val="center"/>
          </w:tcPr>
          <w:p w14:paraId="189D15FC" w14:textId="77777777" w:rsidR="009053D5" w:rsidRPr="000F5020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5D612369" w14:textId="434CB5EE" w:rsidR="009053D5" w:rsidRPr="000F5020" w:rsidRDefault="009053D5" w:rsidP="00EC1C60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Archivar copia en medio magnético del certificado, para el </w:t>
            </w:r>
            <w:r w:rsidR="00E61EA7" w:rsidRPr="000F5020">
              <w:rPr>
                <w:rFonts w:cs="Tahoma"/>
                <w:sz w:val="22"/>
                <w:szCs w:val="22"/>
              </w:rPr>
              <w:t>consecutivo y</w:t>
            </w:r>
            <w:r w:rsidRPr="000F5020">
              <w:rPr>
                <w:rFonts w:cs="Tahoma"/>
                <w:sz w:val="22"/>
                <w:szCs w:val="22"/>
              </w:rPr>
              <w:t xml:space="preserve"> para remitir a la CGR de acuerdo con los artículos 33 y </w:t>
            </w:r>
            <w:r w:rsidR="00DA39EB" w:rsidRPr="000F5020">
              <w:rPr>
                <w:rFonts w:cs="Tahoma"/>
                <w:sz w:val="22"/>
                <w:szCs w:val="22"/>
              </w:rPr>
              <w:t xml:space="preserve">34 </w:t>
            </w:r>
            <w:r w:rsidR="00E61EA7" w:rsidRPr="000F5020">
              <w:rPr>
                <w:rFonts w:cs="Tahoma"/>
                <w:sz w:val="22"/>
                <w:szCs w:val="22"/>
              </w:rPr>
              <w:t>de la</w:t>
            </w:r>
            <w:r w:rsidR="00DA39EB" w:rsidRPr="000F5020">
              <w:rPr>
                <w:rFonts w:cs="Tahoma"/>
                <w:sz w:val="22"/>
                <w:szCs w:val="22"/>
              </w:rPr>
              <w:t xml:space="preserve"> Resolución orgánica 007</w:t>
            </w:r>
            <w:r w:rsidRPr="000F5020">
              <w:rPr>
                <w:rFonts w:cs="Tahoma"/>
                <w:sz w:val="22"/>
                <w:szCs w:val="22"/>
              </w:rPr>
              <w:t xml:space="preserve"> de </w:t>
            </w:r>
            <w:r w:rsidR="00E61EA7" w:rsidRPr="000F5020">
              <w:rPr>
                <w:rFonts w:cs="Tahoma"/>
                <w:sz w:val="22"/>
                <w:szCs w:val="22"/>
              </w:rPr>
              <w:t>junio</w:t>
            </w:r>
            <w:r w:rsidR="00DA39EB" w:rsidRPr="000F5020">
              <w:rPr>
                <w:rFonts w:cs="Tahoma"/>
                <w:sz w:val="22"/>
                <w:szCs w:val="22"/>
              </w:rPr>
              <w:t xml:space="preserve"> 9 d</w:t>
            </w:r>
            <w:r w:rsidRPr="000F5020">
              <w:rPr>
                <w:rFonts w:cs="Tahoma"/>
                <w:sz w:val="22"/>
                <w:szCs w:val="22"/>
              </w:rPr>
              <w:t xml:space="preserve">e </w:t>
            </w:r>
            <w:r w:rsidR="00E61EA7" w:rsidRPr="000F5020">
              <w:rPr>
                <w:rFonts w:cs="Tahoma"/>
                <w:sz w:val="22"/>
                <w:szCs w:val="22"/>
              </w:rPr>
              <w:t>2016 expedida</w:t>
            </w:r>
            <w:r w:rsidRPr="000F5020">
              <w:rPr>
                <w:rFonts w:cs="Tahoma"/>
                <w:sz w:val="22"/>
                <w:szCs w:val="22"/>
              </w:rPr>
              <w:t xml:space="preserve"> por </w:t>
            </w:r>
            <w:r w:rsidR="00EC1C60" w:rsidRPr="000F5020">
              <w:rPr>
                <w:rFonts w:cs="Tahoma"/>
                <w:sz w:val="22"/>
                <w:szCs w:val="22"/>
              </w:rPr>
              <w:t>la Contraloría General de la Rep</w:t>
            </w:r>
            <w:r w:rsidR="00524B41" w:rsidRPr="000F5020">
              <w:rPr>
                <w:rFonts w:cs="Tahoma"/>
                <w:sz w:val="22"/>
                <w:szCs w:val="22"/>
              </w:rPr>
              <w:t>ú</w:t>
            </w:r>
            <w:r w:rsidR="00EC1C60" w:rsidRPr="000F5020">
              <w:rPr>
                <w:rFonts w:cs="Tahoma"/>
                <w:sz w:val="22"/>
                <w:szCs w:val="22"/>
              </w:rPr>
              <w:t>blica</w:t>
            </w:r>
            <w:r w:rsidRPr="000F5020">
              <w:rPr>
                <w:rFonts w:cs="Tahoma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vMerge/>
            <w:vAlign w:val="center"/>
          </w:tcPr>
          <w:p w14:paraId="72985C31" w14:textId="77777777" w:rsidR="009053D5" w:rsidRPr="000F5020" w:rsidRDefault="009053D5" w:rsidP="0011113B">
            <w:pPr>
              <w:spacing w:before="120"/>
              <w:rPr>
                <w:rFonts w:cs="Tahoma"/>
                <w:sz w:val="22"/>
                <w:szCs w:val="22"/>
              </w:rPr>
            </w:pPr>
          </w:p>
        </w:tc>
        <w:tc>
          <w:tcPr>
            <w:tcW w:w="1433" w:type="dxa"/>
          </w:tcPr>
          <w:p w14:paraId="5A15B6F7" w14:textId="77777777" w:rsidR="002E4EC4" w:rsidRPr="000F5020" w:rsidRDefault="002E4EC4" w:rsidP="002E4EC4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Documentos del sujeto de control</w:t>
            </w:r>
          </w:p>
          <w:p w14:paraId="0E19029E" w14:textId="77777777" w:rsidR="009053D5" w:rsidRPr="000F5020" w:rsidRDefault="002E4EC4" w:rsidP="009E0D33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RCF-36</w:t>
            </w:r>
          </w:p>
        </w:tc>
      </w:tr>
      <w:tr w:rsidR="000F5020" w:rsidRPr="000F5020" w14:paraId="186F183A" w14:textId="77777777" w:rsidTr="009E0D33">
        <w:tc>
          <w:tcPr>
            <w:tcW w:w="557" w:type="dxa"/>
            <w:vAlign w:val="center"/>
          </w:tcPr>
          <w:p w14:paraId="62F5BE3A" w14:textId="77777777" w:rsidR="009053D5" w:rsidRPr="000F5020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14:paraId="088FA897" w14:textId="735C5580" w:rsidR="009053D5" w:rsidRPr="000F5020" w:rsidRDefault="009053D5" w:rsidP="00EC1C60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Remitir  a través de correo electrónico institucional a </w:t>
            </w:r>
            <w:r w:rsidR="00EC1C60" w:rsidRPr="000F5020">
              <w:rPr>
                <w:rFonts w:cs="Tahoma"/>
                <w:sz w:val="22"/>
                <w:szCs w:val="22"/>
              </w:rPr>
              <w:t xml:space="preserve">la </w:t>
            </w:r>
            <w:r w:rsidRPr="000F5020">
              <w:rPr>
                <w:rFonts w:cs="Tahoma"/>
                <w:sz w:val="22"/>
                <w:szCs w:val="22"/>
              </w:rPr>
              <w:t xml:space="preserve">CGR de acuerdo con los artículos 33 y 34 de  la </w:t>
            </w:r>
            <w:r w:rsidR="00EC1C60" w:rsidRPr="000F5020">
              <w:rPr>
                <w:rFonts w:cs="Tahoma"/>
                <w:sz w:val="22"/>
                <w:szCs w:val="22"/>
              </w:rPr>
              <w:t>Resolución orgánica 007 de Junio 9 de 2016  expedida por la Contraloría General de la Rep</w:t>
            </w:r>
            <w:r w:rsidR="00524B41" w:rsidRPr="000F5020">
              <w:rPr>
                <w:rFonts w:cs="Tahoma"/>
                <w:sz w:val="22"/>
                <w:szCs w:val="22"/>
              </w:rPr>
              <w:t>ú</w:t>
            </w:r>
            <w:r w:rsidR="00EC1C60" w:rsidRPr="000F5020">
              <w:rPr>
                <w:rFonts w:cs="Tahoma"/>
                <w:sz w:val="22"/>
                <w:szCs w:val="22"/>
              </w:rPr>
              <w:t>blica.</w:t>
            </w:r>
          </w:p>
        </w:tc>
        <w:tc>
          <w:tcPr>
            <w:tcW w:w="1701" w:type="dxa"/>
            <w:vMerge/>
            <w:vAlign w:val="center"/>
          </w:tcPr>
          <w:p w14:paraId="0A436374" w14:textId="77777777" w:rsidR="009053D5" w:rsidRPr="000F5020" w:rsidRDefault="009053D5" w:rsidP="0011113B">
            <w:pPr>
              <w:spacing w:before="120"/>
              <w:rPr>
                <w:rFonts w:cs="Tahoma"/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14:paraId="564B0E44" w14:textId="77777777" w:rsidR="009053D5" w:rsidRPr="000F5020" w:rsidRDefault="009E0D33" w:rsidP="009E0D33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RCF-36</w:t>
            </w:r>
          </w:p>
        </w:tc>
      </w:tr>
    </w:tbl>
    <w:p w14:paraId="79013485" w14:textId="77777777" w:rsidR="00AE7FDC" w:rsidRPr="000F5020" w:rsidRDefault="00AE7FDC" w:rsidP="0011113B">
      <w:pPr>
        <w:spacing w:before="120" w:after="0" w:line="240" w:lineRule="auto"/>
        <w:rPr>
          <w:rFonts w:cs="Tahoma"/>
          <w:sz w:val="22"/>
        </w:rPr>
      </w:pPr>
    </w:p>
    <w:p w14:paraId="3E48CF26" w14:textId="77777777" w:rsidR="009E0D33" w:rsidRPr="000F5020" w:rsidRDefault="009E0D33" w:rsidP="0011113B">
      <w:pPr>
        <w:spacing w:before="120" w:after="0" w:line="240" w:lineRule="auto"/>
        <w:rPr>
          <w:rFonts w:cs="Tahoma"/>
          <w:sz w:val="22"/>
        </w:rPr>
      </w:pPr>
    </w:p>
    <w:p w14:paraId="0A3FAFF6" w14:textId="77777777" w:rsidR="009E0D33" w:rsidRPr="000F5020" w:rsidRDefault="009E0D33" w:rsidP="0011113B">
      <w:pPr>
        <w:spacing w:before="120" w:after="0" w:line="240" w:lineRule="auto"/>
        <w:rPr>
          <w:rFonts w:cs="Tahoma"/>
          <w:sz w:val="22"/>
        </w:rPr>
      </w:pPr>
    </w:p>
    <w:p w14:paraId="484E2AF6" w14:textId="77777777" w:rsidR="009E0D33" w:rsidRPr="000F5020" w:rsidRDefault="009E0D33" w:rsidP="0011113B">
      <w:pPr>
        <w:spacing w:before="120" w:after="0" w:line="240" w:lineRule="auto"/>
        <w:rPr>
          <w:rFonts w:cs="Tahoma"/>
          <w:sz w:val="22"/>
        </w:rPr>
      </w:pPr>
    </w:p>
    <w:p w14:paraId="79D2FADA" w14:textId="77777777" w:rsidR="005A1227" w:rsidRPr="000F5020" w:rsidRDefault="00AE7FDC" w:rsidP="0011113B">
      <w:pPr>
        <w:spacing w:before="120" w:after="0" w:line="240" w:lineRule="auto"/>
        <w:rPr>
          <w:rFonts w:cs="Tahoma"/>
          <w:sz w:val="22"/>
        </w:rPr>
      </w:pPr>
      <w:r w:rsidRPr="000F5020">
        <w:rPr>
          <w:rFonts w:cs="Tahoma"/>
          <w:sz w:val="22"/>
        </w:rPr>
        <w:t>4</w:t>
      </w:r>
      <w:r w:rsidR="005A1227" w:rsidRPr="000F5020">
        <w:rPr>
          <w:rFonts w:cs="Tahoma"/>
          <w:sz w:val="22"/>
        </w:rPr>
        <w:t xml:space="preserve">.2 </w:t>
      </w:r>
      <w:r w:rsidR="009E0D33" w:rsidRPr="000F5020">
        <w:rPr>
          <w:rFonts w:cs="Tahoma"/>
          <w:sz w:val="22"/>
        </w:rPr>
        <w:t xml:space="preserve">Elaboración Del Reporte Del Sistema Estadístico Unificado De Deuda Pública </w:t>
      </w:r>
      <w:r w:rsidR="005A1227" w:rsidRPr="000F5020">
        <w:rPr>
          <w:rFonts w:cs="Tahoma"/>
          <w:sz w:val="22"/>
        </w:rPr>
        <w:t>(SEUD)</w:t>
      </w:r>
    </w:p>
    <w:tbl>
      <w:tblPr>
        <w:tblStyle w:val="Tablaconcuadrcula"/>
        <w:tblW w:w="8840" w:type="dxa"/>
        <w:tblLook w:val="04A0" w:firstRow="1" w:lastRow="0" w:firstColumn="1" w:lastColumn="0" w:noHBand="0" w:noVBand="1"/>
      </w:tblPr>
      <w:tblGrid>
        <w:gridCol w:w="655"/>
        <w:gridCol w:w="4672"/>
        <w:gridCol w:w="1837"/>
        <w:gridCol w:w="1676"/>
      </w:tblGrid>
      <w:tr w:rsidR="000F5020" w:rsidRPr="000F5020" w14:paraId="247F5704" w14:textId="77777777" w:rsidTr="009E0D33">
        <w:trPr>
          <w:tblHeader/>
        </w:trPr>
        <w:tc>
          <w:tcPr>
            <w:tcW w:w="659" w:type="dxa"/>
            <w:vAlign w:val="center"/>
          </w:tcPr>
          <w:p w14:paraId="2DEE7515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4816" w:type="dxa"/>
            <w:vAlign w:val="center"/>
          </w:tcPr>
          <w:p w14:paraId="300E7215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ACTIVIDAD</w:t>
            </w:r>
          </w:p>
        </w:tc>
        <w:tc>
          <w:tcPr>
            <w:tcW w:w="1689" w:type="dxa"/>
            <w:vAlign w:val="center"/>
          </w:tcPr>
          <w:p w14:paraId="353B6619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RESPONSABLE</w:t>
            </w:r>
          </w:p>
        </w:tc>
        <w:tc>
          <w:tcPr>
            <w:tcW w:w="1676" w:type="dxa"/>
            <w:vAlign w:val="center"/>
          </w:tcPr>
          <w:p w14:paraId="42C89816" w14:textId="77777777" w:rsidR="00AE7FDC" w:rsidRPr="000F5020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22"/>
                <w:szCs w:val="22"/>
              </w:rPr>
            </w:pPr>
            <w:r w:rsidRPr="000F5020">
              <w:rPr>
                <w:rFonts w:cs="Tahoma"/>
                <w:b/>
                <w:bCs/>
                <w:sz w:val="22"/>
                <w:szCs w:val="22"/>
              </w:rPr>
              <w:t>DOCUMENTO DE REFERENCIA</w:t>
            </w:r>
          </w:p>
        </w:tc>
      </w:tr>
      <w:tr w:rsidR="000F5020" w:rsidRPr="000F5020" w14:paraId="4F9D5694" w14:textId="77777777" w:rsidTr="009E0D33">
        <w:tc>
          <w:tcPr>
            <w:tcW w:w="659" w:type="dxa"/>
            <w:vAlign w:val="center"/>
          </w:tcPr>
          <w:p w14:paraId="4439F1D2" w14:textId="77777777" w:rsidR="009E0D33" w:rsidRPr="000F5020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14:paraId="7DFED60F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Listar  del sistema SICOF, la información de deuda publica reportada  por los sujetos de control  en el formato SEUD (Sistema Estadístico de Deuda)</w:t>
            </w:r>
          </w:p>
        </w:tc>
        <w:tc>
          <w:tcPr>
            <w:tcW w:w="1689" w:type="dxa"/>
            <w:vMerge w:val="restart"/>
            <w:vAlign w:val="center"/>
          </w:tcPr>
          <w:p w14:paraId="3466F64F" w14:textId="77777777" w:rsidR="009E0D33" w:rsidRPr="000F5020" w:rsidRDefault="009E0D33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Funcionario Asignado del proceso CF  </w:t>
            </w:r>
          </w:p>
        </w:tc>
        <w:tc>
          <w:tcPr>
            <w:tcW w:w="1676" w:type="dxa"/>
            <w:vAlign w:val="center"/>
          </w:tcPr>
          <w:p w14:paraId="6D040E16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Aplicativo SICOF formato SEUD</w:t>
            </w:r>
          </w:p>
        </w:tc>
      </w:tr>
      <w:tr w:rsidR="000F5020" w:rsidRPr="000F5020" w14:paraId="403E29CC" w14:textId="77777777" w:rsidTr="009E0D33">
        <w:tc>
          <w:tcPr>
            <w:tcW w:w="659" w:type="dxa"/>
            <w:vAlign w:val="center"/>
          </w:tcPr>
          <w:p w14:paraId="620F5DE1" w14:textId="77777777" w:rsidR="009E0D33" w:rsidRPr="000F5020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14:paraId="02917315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Verificar y cotejar  con los soportes los pagos realizados; abonos a capital, pago de intereses, prepagos y demás de acuerdo con los códigos establecidos en el manual del usuario</w:t>
            </w:r>
          </w:p>
        </w:tc>
        <w:tc>
          <w:tcPr>
            <w:tcW w:w="1689" w:type="dxa"/>
            <w:vMerge/>
            <w:vAlign w:val="center"/>
          </w:tcPr>
          <w:p w14:paraId="20F8A726" w14:textId="77777777" w:rsidR="009E0D33" w:rsidRPr="000F5020" w:rsidRDefault="009E0D33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</w:p>
        </w:tc>
        <w:tc>
          <w:tcPr>
            <w:tcW w:w="1676" w:type="dxa"/>
            <w:vMerge w:val="restart"/>
            <w:vAlign w:val="center"/>
          </w:tcPr>
          <w:p w14:paraId="7E313153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Aplicativo SICOF</w:t>
            </w:r>
          </w:p>
        </w:tc>
      </w:tr>
      <w:tr w:rsidR="000F5020" w:rsidRPr="000F5020" w14:paraId="17E30E69" w14:textId="77777777" w:rsidTr="009E0D33">
        <w:tc>
          <w:tcPr>
            <w:tcW w:w="659" w:type="dxa"/>
            <w:vAlign w:val="center"/>
          </w:tcPr>
          <w:p w14:paraId="2BD65FA3" w14:textId="77777777" w:rsidR="009E0D33" w:rsidRPr="000F5020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14:paraId="5A1FB29A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Generar el reporte consolidado de SEUD  y  cuadros resumen  de todos los sujetos de control </w:t>
            </w:r>
          </w:p>
        </w:tc>
        <w:tc>
          <w:tcPr>
            <w:tcW w:w="1689" w:type="dxa"/>
            <w:vMerge/>
            <w:vAlign w:val="center"/>
          </w:tcPr>
          <w:p w14:paraId="0D13953D" w14:textId="77777777" w:rsidR="009E0D33" w:rsidRPr="000F5020" w:rsidRDefault="009E0D33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</w:p>
        </w:tc>
        <w:tc>
          <w:tcPr>
            <w:tcW w:w="1676" w:type="dxa"/>
            <w:vMerge/>
            <w:vAlign w:val="center"/>
          </w:tcPr>
          <w:p w14:paraId="43511017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</w:p>
        </w:tc>
      </w:tr>
      <w:tr w:rsidR="000F5020" w:rsidRPr="000F5020" w14:paraId="12459CEA" w14:textId="77777777" w:rsidTr="009E0D33">
        <w:tc>
          <w:tcPr>
            <w:tcW w:w="659" w:type="dxa"/>
            <w:vAlign w:val="center"/>
          </w:tcPr>
          <w:p w14:paraId="7CAC93A1" w14:textId="77777777" w:rsidR="009E0D33" w:rsidRPr="000F5020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14:paraId="03A87E41" w14:textId="49C694E8" w:rsidR="009E0D33" w:rsidRPr="000F5020" w:rsidRDefault="009E0D33" w:rsidP="00EC1C60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Elaborar una carpeta electrónica que contenga el formato SEUD de los municipios y entidades descentralizadas, cuadro resumen y </w:t>
            </w:r>
            <w:r w:rsidR="00E61EA7" w:rsidRPr="000F5020">
              <w:rPr>
                <w:rFonts w:cs="Tahoma"/>
                <w:sz w:val="22"/>
                <w:szCs w:val="22"/>
              </w:rPr>
              <w:t>remitirlo a</w:t>
            </w:r>
            <w:r w:rsidRPr="000F5020">
              <w:rPr>
                <w:rFonts w:cs="Tahoma"/>
                <w:sz w:val="22"/>
                <w:szCs w:val="22"/>
              </w:rPr>
              <w:t xml:space="preserve"> través de correo electrónico institucional a la CGR de acuerd</w:t>
            </w:r>
            <w:r w:rsidR="00EC1C60" w:rsidRPr="000F5020">
              <w:rPr>
                <w:rFonts w:cs="Tahoma"/>
                <w:sz w:val="22"/>
                <w:szCs w:val="22"/>
              </w:rPr>
              <w:t xml:space="preserve">o con los artículos 33 y 34 de la Resolución orgánica 007 de </w:t>
            </w:r>
            <w:r w:rsidR="00E61EA7" w:rsidRPr="000F5020">
              <w:rPr>
                <w:rFonts w:cs="Tahoma"/>
                <w:sz w:val="22"/>
                <w:szCs w:val="22"/>
              </w:rPr>
              <w:t>junio</w:t>
            </w:r>
            <w:r w:rsidR="00EC1C60" w:rsidRPr="000F5020">
              <w:rPr>
                <w:rFonts w:cs="Tahoma"/>
                <w:sz w:val="22"/>
                <w:szCs w:val="22"/>
              </w:rPr>
              <w:t xml:space="preserve"> 9 de </w:t>
            </w:r>
            <w:r w:rsidR="00E61EA7" w:rsidRPr="000F5020">
              <w:rPr>
                <w:rFonts w:cs="Tahoma"/>
                <w:sz w:val="22"/>
                <w:szCs w:val="22"/>
              </w:rPr>
              <w:t>2016 expedida</w:t>
            </w:r>
            <w:r w:rsidR="00EC1C60" w:rsidRPr="000F5020">
              <w:rPr>
                <w:rFonts w:cs="Tahoma"/>
                <w:sz w:val="22"/>
                <w:szCs w:val="22"/>
              </w:rPr>
              <w:t xml:space="preserve"> por la Contraloría General de la Republica. </w:t>
            </w:r>
          </w:p>
        </w:tc>
        <w:tc>
          <w:tcPr>
            <w:tcW w:w="1689" w:type="dxa"/>
            <w:vMerge/>
            <w:vAlign w:val="center"/>
          </w:tcPr>
          <w:p w14:paraId="72003357" w14:textId="77777777" w:rsidR="009E0D33" w:rsidRPr="000F5020" w:rsidRDefault="009E0D33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14:paraId="0CBE857F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Correo electrónico</w:t>
            </w:r>
          </w:p>
          <w:p w14:paraId="04141A67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Soporte Digital</w:t>
            </w:r>
          </w:p>
        </w:tc>
      </w:tr>
      <w:tr w:rsidR="000F5020" w:rsidRPr="000F5020" w14:paraId="7C82EFFF" w14:textId="77777777" w:rsidTr="009E0D33">
        <w:tc>
          <w:tcPr>
            <w:tcW w:w="659" w:type="dxa"/>
            <w:vAlign w:val="center"/>
          </w:tcPr>
          <w:p w14:paraId="13A17907" w14:textId="77777777" w:rsidR="009E0D33" w:rsidRPr="000F5020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 w:val="22"/>
                <w:szCs w:val="22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14:paraId="34ACC7FA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 xml:space="preserve">Archivar copia en medio magnético de los informes mensuales remitidos  a la CGR, para el consecutivo  </w:t>
            </w:r>
          </w:p>
        </w:tc>
        <w:tc>
          <w:tcPr>
            <w:tcW w:w="1689" w:type="dxa"/>
            <w:vMerge/>
            <w:vAlign w:val="center"/>
          </w:tcPr>
          <w:p w14:paraId="638091C4" w14:textId="77777777" w:rsidR="009E0D33" w:rsidRPr="000F5020" w:rsidRDefault="009E0D33" w:rsidP="0011113B">
            <w:pPr>
              <w:spacing w:before="120"/>
              <w:jc w:val="center"/>
              <w:rPr>
                <w:rFonts w:cs="Tahoma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14:paraId="56650523" w14:textId="77777777" w:rsidR="009E0D33" w:rsidRPr="000F5020" w:rsidRDefault="009E0D33" w:rsidP="0011113B">
            <w:pPr>
              <w:spacing w:before="120"/>
              <w:rPr>
                <w:rFonts w:cs="Tahoma"/>
                <w:sz w:val="22"/>
                <w:szCs w:val="22"/>
              </w:rPr>
            </w:pPr>
            <w:r w:rsidRPr="000F5020">
              <w:rPr>
                <w:rFonts w:cs="Tahoma"/>
                <w:sz w:val="22"/>
                <w:szCs w:val="22"/>
              </w:rPr>
              <w:t>Copia Digital</w:t>
            </w:r>
          </w:p>
        </w:tc>
      </w:tr>
    </w:tbl>
    <w:p w14:paraId="463DF323" w14:textId="77777777" w:rsidR="007E5005" w:rsidRPr="000F5020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 w:val="22"/>
        </w:rPr>
      </w:pPr>
    </w:p>
    <w:p w14:paraId="51A555F6" w14:textId="77777777" w:rsidR="007E5005" w:rsidRPr="000F5020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 w:val="22"/>
        </w:rPr>
      </w:pPr>
    </w:p>
    <w:p w14:paraId="4EDFACD0" w14:textId="77777777" w:rsidR="007E5005" w:rsidRPr="000F5020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 w:val="22"/>
        </w:rPr>
      </w:pPr>
    </w:p>
    <w:p w14:paraId="75F5775C" w14:textId="77777777" w:rsidR="007E5005" w:rsidRPr="000F5020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 w:val="22"/>
        </w:rPr>
      </w:pPr>
    </w:p>
    <w:p w14:paraId="64F0EF6B" w14:textId="77777777" w:rsidR="00866EDC" w:rsidRPr="000F5020" w:rsidRDefault="00866EDC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 w:val="22"/>
        </w:rPr>
      </w:pPr>
    </w:p>
    <w:p w14:paraId="0A1DC466" w14:textId="77777777" w:rsidR="00866EDC" w:rsidRPr="000F5020" w:rsidRDefault="00866EDC" w:rsidP="0011113B">
      <w:pPr>
        <w:spacing w:before="120" w:after="0" w:line="240" w:lineRule="auto"/>
        <w:rPr>
          <w:rFonts w:cs="Tahoma"/>
          <w:sz w:val="22"/>
        </w:rPr>
      </w:pPr>
    </w:p>
    <w:p w14:paraId="2968FA1E" w14:textId="77777777" w:rsidR="000F5020" w:rsidRPr="000F5020" w:rsidRDefault="000F5020">
      <w:pPr>
        <w:spacing w:before="120" w:after="0" w:line="240" w:lineRule="auto"/>
        <w:rPr>
          <w:rFonts w:cs="Tahoma"/>
          <w:sz w:val="22"/>
        </w:rPr>
      </w:pPr>
    </w:p>
    <w:sectPr w:rsidR="000F5020" w:rsidRPr="000F5020" w:rsidSect="009002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701" w:left="1701" w:header="709" w:footer="7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C9B44" w14:textId="77777777" w:rsidR="009B1D90" w:rsidRDefault="009B1D90" w:rsidP="00FC14E0">
      <w:pPr>
        <w:spacing w:after="0" w:line="240" w:lineRule="auto"/>
      </w:pPr>
      <w:r>
        <w:separator/>
      </w:r>
    </w:p>
  </w:endnote>
  <w:endnote w:type="continuationSeparator" w:id="0">
    <w:p w14:paraId="13300CD1" w14:textId="77777777" w:rsidR="009B1D90" w:rsidRDefault="009B1D90" w:rsidP="00FC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0359E" w14:textId="77777777" w:rsidR="0055096A" w:rsidRDefault="0055096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1B218" w14:textId="28CB8201" w:rsidR="00C51BE6" w:rsidRDefault="00C51BE6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55096A" w:rsidRPr="0055096A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55096A" w:rsidRPr="0055096A">
      <w:rPr>
        <w:noProof/>
        <w:color w:val="17365D" w:themeColor="text2" w:themeShade="BF"/>
        <w:sz w:val="24"/>
        <w:szCs w:val="24"/>
        <w:lang w:val="es-ES"/>
      </w:rPr>
      <w:t>4</w:t>
    </w:r>
    <w:r>
      <w:rPr>
        <w:color w:val="17365D" w:themeColor="text2" w:themeShade="BF"/>
        <w:sz w:val="24"/>
        <w:szCs w:val="24"/>
      </w:rPr>
      <w:fldChar w:fldCharType="end"/>
    </w:r>
  </w:p>
  <w:p w14:paraId="77744069" w14:textId="66E1F8FE" w:rsidR="00C51BE6" w:rsidRDefault="0055096A" w:rsidP="00C51BE6">
    <w:pPr>
      <w:pStyle w:val="Piedepgina"/>
      <w:rPr>
        <w:rFonts w:ascii="Times New Roman" w:eastAsia="Calibri" w:hAnsi="Times New Roman" w:cs="Tahoma"/>
        <w:b/>
        <w:color w:val="008000"/>
        <w:sz w:val="18"/>
        <w:szCs w:val="18"/>
        <w:lang w:val="es-MX"/>
      </w:rPr>
    </w:pPr>
    <w:r>
      <w:rPr>
        <w:rFonts w:cs="Tahoma"/>
        <w:sz w:val="18"/>
        <w:szCs w:val="18"/>
        <w:lang w:val="es-MX"/>
      </w:rPr>
      <w:t>Aprobado 12 de diciembre de 2022</w:t>
    </w:r>
    <w:bookmarkStart w:id="3" w:name="_GoBack"/>
    <w:bookmarkEnd w:id="3"/>
    <w:r w:rsidR="00C51BE6">
      <w:rPr>
        <w:rFonts w:cs="Tahoma"/>
        <w:sz w:val="18"/>
        <w:szCs w:val="18"/>
        <w:lang w:val="es-MX"/>
      </w:rPr>
      <w:t xml:space="preserve"> </w:t>
    </w:r>
    <w:r w:rsidR="00C51BE6">
      <w:rPr>
        <w:rFonts w:eastAsia="Calibri" w:cs="Tahoma"/>
        <w:b/>
        <w:color w:val="008000"/>
        <w:sz w:val="18"/>
        <w:szCs w:val="18"/>
        <w:lang w:val="es-MX"/>
      </w:rPr>
      <w:t>COPIA CONTROLADA.</w:t>
    </w:r>
  </w:p>
  <w:p w14:paraId="41D7E711" w14:textId="77777777" w:rsidR="00C51BE6" w:rsidRDefault="00C51BE6" w:rsidP="00C51BE6">
    <w:pPr>
      <w:pStyle w:val="Piedepgina"/>
      <w:rPr>
        <w:rFonts w:ascii="Arial Unicode MS" w:eastAsia="Arial Unicode MS" w:hAnsi="Arial Unicode MS" w:cs="Tahoma"/>
        <w:sz w:val="18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476F026" w14:textId="5EC79B7C" w:rsidR="006060E1" w:rsidRPr="00C51BE6" w:rsidRDefault="00C51BE6" w:rsidP="00EC6E32">
    <w:pPr>
      <w:pStyle w:val="Piedepgina"/>
      <w:rPr>
        <w:rFonts w:eastAsia="Calibri" w:cs="Tahoma"/>
        <w:sz w:val="18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D54E7" w14:textId="77777777" w:rsidR="0055096A" w:rsidRDefault="005509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973B1" w14:textId="77777777" w:rsidR="009B1D90" w:rsidRDefault="009B1D90" w:rsidP="00FC14E0">
      <w:pPr>
        <w:spacing w:after="0" w:line="240" w:lineRule="auto"/>
      </w:pPr>
      <w:r>
        <w:separator/>
      </w:r>
    </w:p>
  </w:footnote>
  <w:footnote w:type="continuationSeparator" w:id="0">
    <w:p w14:paraId="3FFBFA1F" w14:textId="77777777" w:rsidR="009B1D90" w:rsidRDefault="009B1D90" w:rsidP="00FC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2AADF" w14:textId="77777777" w:rsidR="0055096A" w:rsidRDefault="005509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8"/>
      <w:gridCol w:w="3539"/>
      <w:gridCol w:w="1919"/>
      <w:gridCol w:w="1463"/>
    </w:tblGrid>
    <w:tr w:rsidR="006060E1" w:rsidRPr="00527000" w14:paraId="0A736526" w14:textId="77777777" w:rsidTr="00445D48">
      <w:tc>
        <w:tcPr>
          <w:tcW w:w="158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41EABB9" w14:textId="0D5D41CF" w:rsidR="006060E1" w:rsidRPr="00527000" w:rsidRDefault="0055096A" w:rsidP="001C04DA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>
            <w:rPr>
              <w:noProof/>
              <w:lang w:eastAsia="es-CO"/>
            </w:rPr>
            <w:drawing>
              <wp:inline distT="0" distB="0" distL="0" distR="0" wp14:anchorId="4DB24843" wp14:editId="4B8B16AB">
                <wp:extent cx="1258570" cy="885825"/>
                <wp:effectExtent l="0" t="0" r="0" b="9525"/>
                <wp:docPr id="7" name="Imagen 7" descr="LogoCDT20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LogoCDT20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8" w:type="dxa"/>
          <w:gridSpan w:val="3"/>
          <w:vAlign w:val="center"/>
        </w:tcPr>
        <w:p w14:paraId="37AEB9B1" w14:textId="77777777" w:rsidR="001D73CE" w:rsidRDefault="006060E1" w:rsidP="001C04DA">
          <w:pPr>
            <w:pStyle w:val="Encabezado"/>
            <w:jc w:val="center"/>
            <w:rPr>
              <w:rFonts w:cs="Tahoma"/>
              <w:b/>
              <w:bCs/>
              <w:szCs w:val="20"/>
            </w:rPr>
          </w:pPr>
          <w:r w:rsidRPr="00202B07">
            <w:rPr>
              <w:rFonts w:cs="Tahoma"/>
              <w:b/>
              <w:bCs/>
              <w:szCs w:val="20"/>
            </w:rPr>
            <w:t>PROCEDIMIENTO</w:t>
          </w:r>
          <w:r w:rsidR="00F328B8">
            <w:rPr>
              <w:rFonts w:cs="Tahoma"/>
              <w:b/>
              <w:bCs/>
              <w:szCs w:val="20"/>
            </w:rPr>
            <w:t xml:space="preserve"> </w:t>
          </w:r>
        </w:p>
        <w:p w14:paraId="45167AD7" w14:textId="77777777" w:rsidR="006060E1" w:rsidRPr="00051638" w:rsidRDefault="00F328B8" w:rsidP="001D73CE">
          <w:pPr>
            <w:pStyle w:val="Encabezado"/>
            <w:jc w:val="center"/>
            <w:rPr>
              <w:rStyle w:val="Nmerodepgina"/>
              <w:rFonts w:cs="Tahoma"/>
              <w:b/>
              <w:bCs/>
              <w:szCs w:val="20"/>
            </w:rPr>
          </w:pPr>
          <w:r>
            <w:rPr>
              <w:rFonts w:cs="Tahoma"/>
              <w:b/>
              <w:bCs/>
              <w:szCs w:val="20"/>
            </w:rPr>
            <w:t xml:space="preserve">DEUDA </w:t>
          </w:r>
          <w:r w:rsidR="007A7EEA">
            <w:rPr>
              <w:rFonts w:cs="Tahoma"/>
              <w:b/>
              <w:bCs/>
              <w:szCs w:val="20"/>
            </w:rPr>
            <w:t>PÚBLICA</w:t>
          </w:r>
          <w:r>
            <w:rPr>
              <w:rFonts w:cs="Tahoma"/>
              <w:b/>
              <w:bCs/>
              <w:szCs w:val="20"/>
            </w:rPr>
            <w:t xml:space="preserve"> </w:t>
          </w:r>
        </w:p>
      </w:tc>
    </w:tr>
    <w:tr w:rsidR="006060E1" w:rsidRPr="00527000" w14:paraId="2E75628C" w14:textId="77777777" w:rsidTr="00445D48">
      <w:trPr>
        <w:trHeight w:val="403"/>
      </w:trPr>
      <w:tc>
        <w:tcPr>
          <w:tcW w:w="158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7FC0A85" w14:textId="77777777" w:rsidR="006060E1" w:rsidRPr="00527000" w:rsidRDefault="006060E1" w:rsidP="001C04DA">
          <w:pPr>
            <w:pStyle w:val="Encabezado"/>
            <w:rPr>
              <w:rStyle w:val="Nmerodepgina"/>
              <w:rFonts w:cs="Tahoma"/>
              <w:szCs w:val="20"/>
            </w:rPr>
          </w:pPr>
        </w:p>
      </w:tc>
      <w:tc>
        <w:tcPr>
          <w:tcW w:w="3834" w:type="dxa"/>
          <w:vAlign w:val="center"/>
        </w:tcPr>
        <w:p w14:paraId="6B2C4E21" w14:textId="77777777" w:rsidR="006060E1" w:rsidRPr="00527000" w:rsidRDefault="006060E1" w:rsidP="00515CB0">
          <w:pPr>
            <w:pStyle w:val="Encabezado"/>
            <w:tabs>
              <w:tab w:val="center" w:pos="-6544"/>
            </w:tabs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 xml:space="preserve">Proceso: </w:t>
          </w:r>
          <w:r>
            <w:rPr>
              <w:rFonts w:cs="Tahoma"/>
            </w:rPr>
            <w:t xml:space="preserve">CF - </w:t>
          </w:r>
          <w:r w:rsidRPr="00CD770D">
            <w:rPr>
              <w:rFonts w:cs="Tahoma"/>
            </w:rPr>
            <w:t>Control Fiscal</w:t>
          </w:r>
        </w:p>
      </w:tc>
      <w:tc>
        <w:tcPr>
          <w:tcW w:w="2031" w:type="dxa"/>
          <w:vAlign w:val="center"/>
        </w:tcPr>
        <w:p w14:paraId="1DBE4293" w14:textId="77777777" w:rsidR="00090ADA" w:rsidRPr="00AE7FDC" w:rsidRDefault="006060E1" w:rsidP="00AE7FDC">
          <w:pPr>
            <w:pStyle w:val="Encabezado"/>
            <w:tabs>
              <w:tab w:val="center" w:pos="-6544"/>
            </w:tabs>
            <w:jc w:val="center"/>
            <w:rPr>
              <w:rFonts w:cs="Tahoma"/>
              <w:b/>
            </w:rPr>
          </w:pPr>
          <w:r w:rsidRPr="00527000">
            <w:rPr>
              <w:rFonts w:cs="Tahoma"/>
              <w:b/>
            </w:rPr>
            <w:t xml:space="preserve">Código: </w:t>
          </w:r>
          <w:r w:rsidRPr="00AE7FDC">
            <w:rPr>
              <w:rFonts w:cs="Tahoma"/>
            </w:rPr>
            <w:t>PCF</w:t>
          </w:r>
          <w:r w:rsidR="00090ADA" w:rsidRPr="00AE7FDC">
            <w:rPr>
              <w:rFonts w:cs="Tahoma"/>
            </w:rPr>
            <w:t>-04</w:t>
          </w:r>
        </w:p>
      </w:tc>
      <w:tc>
        <w:tcPr>
          <w:tcW w:w="1513" w:type="dxa"/>
          <w:vAlign w:val="center"/>
        </w:tcPr>
        <w:p w14:paraId="270CBB2D" w14:textId="18D2FBB0" w:rsidR="006060E1" w:rsidRPr="00527000" w:rsidRDefault="006060E1" w:rsidP="00AA50F4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>Versión:</w:t>
          </w:r>
          <w:r w:rsidRPr="00527000">
            <w:rPr>
              <w:rFonts w:cs="Tahoma"/>
            </w:rPr>
            <w:t xml:space="preserve">  </w:t>
          </w:r>
          <w:r w:rsidR="0055096A">
            <w:rPr>
              <w:rFonts w:cs="Tahoma"/>
            </w:rPr>
            <w:t xml:space="preserve">05 </w:t>
          </w:r>
        </w:p>
      </w:tc>
    </w:tr>
  </w:tbl>
  <w:p w14:paraId="68526D59" w14:textId="77777777" w:rsidR="006060E1" w:rsidRPr="00051638" w:rsidRDefault="006060E1" w:rsidP="00051638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298A9" w14:textId="77777777" w:rsidR="0055096A" w:rsidRDefault="005509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B3C9B"/>
    <w:multiLevelType w:val="hybridMultilevel"/>
    <w:tmpl w:val="AF167FE4"/>
    <w:lvl w:ilvl="0" w:tplc="609E04DC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92C80"/>
    <w:multiLevelType w:val="hybridMultilevel"/>
    <w:tmpl w:val="2D0ED8AC"/>
    <w:lvl w:ilvl="0" w:tplc="F9C471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CE49A8"/>
    <w:multiLevelType w:val="hybridMultilevel"/>
    <w:tmpl w:val="B47EC27A"/>
    <w:lvl w:ilvl="0" w:tplc="A90468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F5199"/>
    <w:multiLevelType w:val="hybridMultilevel"/>
    <w:tmpl w:val="99FC07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5724F"/>
    <w:multiLevelType w:val="hybridMultilevel"/>
    <w:tmpl w:val="46103382"/>
    <w:lvl w:ilvl="0" w:tplc="0E92766A">
      <w:start w:val="1"/>
      <w:numFmt w:val="decimal"/>
      <w:pStyle w:val="Ttulo2"/>
      <w:lvlText w:val="%1.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17AB8"/>
    <w:multiLevelType w:val="hybridMultilevel"/>
    <w:tmpl w:val="C24C6646"/>
    <w:lvl w:ilvl="0" w:tplc="F5789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0603"/>
    <w:multiLevelType w:val="hybridMultilevel"/>
    <w:tmpl w:val="8C064CA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D7308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2D0E2070"/>
    <w:multiLevelType w:val="hybridMultilevel"/>
    <w:tmpl w:val="FDDA2D7A"/>
    <w:lvl w:ilvl="0" w:tplc="0DC24AE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A6D"/>
    <w:multiLevelType w:val="multilevel"/>
    <w:tmpl w:val="0C0A001F"/>
    <w:styleLink w:val="Estilo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92B788F"/>
    <w:multiLevelType w:val="hybridMultilevel"/>
    <w:tmpl w:val="275696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56AAE"/>
    <w:multiLevelType w:val="hybridMultilevel"/>
    <w:tmpl w:val="0548F39E"/>
    <w:lvl w:ilvl="0" w:tplc="0E9A9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83661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84959AA"/>
    <w:multiLevelType w:val="multilevel"/>
    <w:tmpl w:val="289A134C"/>
    <w:styleLink w:val="Estilo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904551C"/>
    <w:multiLevelType w:val="hybridMultilevel"/>
    <w:tmpl w:val="B1301BE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0E7615"/>
    <w:multiLevelType w:val="multilevel"/>
    <w:tmpl w:val="62D4CAC2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57343F67"/>
    <w:multiLevelType w:val="hybridMultilevel"/>
    <w:tmpl w:val="E432D1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F1B37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57843AF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E8B57DF"/>
    <w:multiLevelType w:val="hybridMultilevel"/>
    <w:tmpl w:val="BB08BF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A2171"/>
    <w:multiLevelType w:val="hybridMultilevel"/>
    <w:tmpl w:val="4FA83F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BC0240"/>
    <w:multiLevelType w:val="multilevel"/>
    <w:tmpl w:val="09543DD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77F123F7"/>
    <w:multiLevelType w:val="multilevel"/>
    <w:tmpl w:val="62140A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7C481E5F"/>
    <w:multiLevelType w:val="hybridMultilevel"/>
    <w:tmpl w:val="AB7AEF5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8B2623"/>
    <w:multiLevelType w:val="multilevel"/>
    <w:tmpl w:val="CABC078A"/>
    <w:lvl w:ilvl="0">
      <w:start w:val="1"/>
      <w:numFmt w:val="decimal"/>
      <w:pStyle w:val="Estilo1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21"/>
  </w:num>
  <w:num w:numId="5">
    <w:abstractNumId w:val="14"/>
  </w:num>
  <w:num w:numId="6">
    <w:abstractNumId w:val="22"/>
  </w:num>
  <w:num w:numId="7">
    <w:abstractNumId w:val="8"/>
  </w:num>
  <w:num w:numId="8">
    <w:abstractNumId w:val="24"/>
  </w:num>
  <w:num w:numId="9">
    <w:abstractNumId w:val="12"/>
  </w:num>
  <w:num w:numId="10">
    <w:abstractNumId w:val="20"/>
  </w:num>
  <w:num w:numId="11">
    <w:abstractNumId w:val="17"/>
  </w:num>
  <w:num w:numId="12">
    <w:abstractNumId w:val="16"/>
  </w:num>
  <w:num w:numId="13">
    <w:abstractNumId w:val="23"/>
  </w:num>
  <w:num w:numId="14">
    <w:abstractNumId w:val="13"/>
  </w:num>
  <w:num w:numId="15">
    <w:abstractNumId w:val="2"/>
  </w:num>
  <w:num w:numId="16">
    <w:abstractNumId w:val="0"/>
  </w:num>
  <w:num w:numId="17">
    <w:abstractNumId w:val="10"/>
  </w:num>
  <w:num w:numId="18">
    <w:abstractNumId w:val="7"/>
  </w:num>
  <w:num w:numId="19">
    <w:abstractNumId w:val="15"/>
  </w:num>
  <w:num w:numId="20">
    <w:abstractNumId w:val="15"/>
    <w:lvlOverride w:ilvl="0">
      <w:startOverride w:val="6"/>
    </w:lvlOverride>
    <w:lvlOverride w:ilvl="1">
      <w:startOverride w:val="2"/>
    </w:lvlOverride>
  </w:num>
  <w:num w:numId="21">
    <w:abstractNumId w:val="11"/>
  </w:num>
  <w:num w:numId="22">
    <w:abstractNumId w:val="5"/>
  </w:num>
  <w:num w:numId="23">
    <w:abstractNumId w:val="1"/>
  </w:num>
  <w:num w:numId="24">
    <w:abstractNumId w:val="3"/>
  </w:num>
  <w:num w:numId="25">
    <w:abstractNumId w:val="18"/>
  </w:num>
  <w:num w:numId="26">
    <w:abstractNumId w:val="15"/>
  </w:num>
  <w:num w:numId="27">
    <w:abstractNumId w:val="15"/>
  </w:num>
  <w:num w:numId="28">
    <w:abstractNumId w:val="15"/>
  </w:num>
  <w:num w:numId="29">
    <w:abstractNumId w:val="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E0"/>
    <w:rsid w:val="0003322A"/>
    <w:rsid w:val="00051638"/>
    <w:rsid w:val="00051982"/>
    <w:rsid w:val="00083EA4"/>
    <w:rsid w:val="00090ADA"/>
    <w:rsid w:val="00092945"/>
    <w:rsid w:val="000A16E5"/>
    <w:rsid w:val="000B4E65"/>
    <w:rsid w:val="000C01DA"/>
    <w:rsid w:val="000C1854"/>
    <w:rsid w:val="000F319A"/>
    <w:rsid w:val="000F5020"/>
    <w:rsid w:val="0011113B"/>
    <w:rsid w:val="0011122B"/>
    <w:rsid w:val="001231FC"/>
    <w:rsid w:val="00126FA6"/>
    <w:rsid w:val="00133FA8"/>
    <w:rsid w:val="00144DBF"/>
    <w:rsid w:val="00182EAC"/>
    <w:rsid w:val="00183CBA"/>
    <w:rsid w:val="00195C62"/>
    <w:rsid w:val="001A13D6"/>
    <w:rsid w:val="001A2A0D"/>
    <w:rsid w:val="001B01C8"/>
    <w:rsid w:val="001C04DA"/>
    <w:rsid w:val="001C054C"/>
    <w:rsid w:val="001D73CE"/>
    <w:rsid w:val="00202B07"/>
    <w:rsid w:val="0021663E"/>
    <w:rsid w:val="00237F1B"/>
    <w:rsid w:val="002408B7"/>
    <w:rsid w:val="0026487D"/>
    <w:rsid w:val="00264EFF"/>
    <w:rsid w:val="0028154C"/>
    <w:rsid w:val="0028789A"/>
    <w:rsid w:val="00292873"/>
    <w:rsid w:val="0029721A"/>
    <w:rsid w:val="002A2B0D"/>
    <w:rsid w:val="002D763F"/>
    <w:rsid w:val="002E4EC4"/>
    <w:rsid w:val="002F1C72"/>
    <w:rsid w:val="00305692"/>
    <w:rsid w:val="003270A5"/>
    <w:rsid w:val="00331B5C"/>
    <w:rsid w:val="003475BA"/>
    <w:rsid w:val="00351CF4"/>
    <w:rsid w:val="003544A7"/>
    <w:rsid w:val="00386AC8"/>
    <w:rsid w:val="00390DD2"/>
    <w:rsid w:val="003C398E"/>
    <w:rsid w:val="003D4E36"/>
    <w:rsid w:val="003F0E90"/>
    <w:rsid w:val="003F4A1E"/>
    <w:rsid w:val="00410F6B"/>
    <w:rsid w:val="00414C7E"/>
    <w:rsid w:val="00443034"/>
    <w:rsid w:val="00444AE6"/>
    <w:rsid w:val="00445D48"/>
    <w:rsid w:val="004477E4"/>
    <w:rsid w:val="0047022B"/>
    <w:rsid w:val="00472830"/>
    <w:rsid w:val="00480B26"/>
    <w:rsid w:val="004820AC"/>
    <w:rsid w:val="00496977"/>
    <w:rsid w:val="004B3D57"/>
    <w:rsid w:val="004D12EB"/>
    <w:rsid w:val="004E1052"/>
    <w:rsid w:val="004E1423"/>
    <w:rsid w:val="004E2102"/>
    <w:rsid w:val="004E2BFA"/>
    <w:rsid w:val="004F4510"/>
    <w:rsid w:val="00510058"/>
    <w:rsid w:val="00515CB0"/>
    <w:rsid w:val="005219A3"/>
    <w:rsid w:val="00524B41"/>
    <w:rsid w:val="00524BB7"/>
    <w:rsid w:val="005273B4"/>
    <w:rsid w:val="00535BB2"/>
    <w:rsid w:val="00535CF4"/>
    <w:rsid w:val="00535F11"/>
    <w:rsid w:val="0055096A"/>
    <w:rsid w:val="0055208A"/>
    <w:rsid w:val="0055311A"/>
    <w:rsid w:val="005605C3"/>
    <w:rsid w:val="00567950"/>
    <w:rsid w:val="00567BBC"/>
    <w:rsid w:val="00583052"/>
    <w:rsid w:val="00592824"/>
    <w:rsid w:val="005936D2"/>
    <w:rsid w:val="005A1227"/>
    <w:rsid w:val="005A7925"/>
    <w:rsid w:val="005C362A"/>
    <w:rsid w:val="005F6926"/>
    <w:rsid w:val="00601D79"/>
    <w:rsid w:val="006060E1"/>
    <w:rsid w:val="00616A84"/>
    <w:rsid w:val="00627139"/>
    <w:rsid w:val="00627582"/>
    <w:rsid w:val="00627BEA"/>
    <w:rsid w:val="0063081C"/>
    <w:rsid w:val="006316A1"/>
    <w:rsid w:val="00633CE9"/>
    <w:rsid w:val="00641BA6"/>
    <w:rsid w:val="00644684"/>
    <w:rsid w:val="00646D8E"/>
    <w:rsid w:val="00681744"/>
    <w:rsid w:val="00695D52"/>
    <w:rsid w:val="006A000E"/>
    <w:rsid w:val="006E2E3F"/>
    <w:rsid w:val="006F4DCC"/>
    <w:rsid w:val="006F5864"/>
    <w:rsid w:val="006F7241"/>
    <w:rsid w:val="00702988"/>
    <w:rsid w:val="007406BC"/>
    <w:rsid w:val="00756A9E"/>
    <w:rsid w:val="0076690B"/>
    <w:rsid w:val="00772B7B"/>
    <w:rsid w:val="007814DA"/>
    <w:rsid w:val="007A6A4B"/>
    <w:rsid w:val="007A7EEA"/>
    <w:rsid w:val="007C1942"/>
    <w:rsid w:val="007C436A"/>
    <w:rsid w:val="007D025B"/>
    <w:rsid w:val="007E3ADB"/>
    <w:rsid w:val="007E5005"/>
    <w:rsid w:val="007E67D4"/>
    <w:rsid w:val="007F5B24"/>
    <w:rsid w:val="007F6867"/>
    <w:rsid w:val="00805655"/>
    <w:rsid w:val="00805F79"/>
    <w:rsid w:val="00826A45"/>
    <w:rsid w:val="00843894"/>
    <w:rsid w:val="00847AB3"/>
    <w:rsid w:val="00866EDC"/>
    <w:rsid w:val="008B15EF"/>
    <w:rsid w:val="008C0DFD"/>
    <w:rsid w:val="008D488D"/>
    <w:rsid w:val="008D5077"/>
    <w:rsid w:val="00900297"/>
    <w:rsid w:val="009053D5"/>
    <w:rsid w:val="00987279"/>
    <w:rsid w:val="009A3317"/>
    <w:rsid w:val="009A3C57"/>
    <w:rsid w:val="009A7AF7"/>
    <w:rsid w:val="009B1D90"/>
    <w:rsid w:val="009B61BF"/>
    <w:rsid w:val="009C027E"/>
    <w:rsid w:val="009C3468"/>
    <w:rsid w:val="009D0278"/>
    <w:rsid w:val="009D2213"/>
    <w:rsid w:val="009D66E2"/>
    <w:rsid w:val="009E0D33"/>
    <w:rsid w:val="009E3430"/>
    <w:rsid w:val="009F7B8C"/>
    <w:rsid w:val="009F7D5E"/>
    <w:rsid w:val="00A04EB2"/>
    <w:rsid w:val="00A229DD"/>
    <w:rsid w:val="00A4738D"/>
    <w:rsid w:val="00A54AFB"/>
    <w:rsid w:val="00A57819"/>
    <w:rsid w:val="00A6368A"/>
    <w:rsid w:val="00A70EA2"/>
    <w:rsid w:val="00A860B5"/>
    <w:rsid w:val="00A87FD4"/>
    <w:rsid w:val="00AA326E"/>
    <w:rsid w:val="00AA50F4"/>
    <w:rsid w:val="00AB2E49"/>
    <w:rsid w:val="00AD3E07"/>
    <w:rsid w:val="00AD3E9C"/>
    <w:rsid w:val="00AE7FDC"/>
    <w:rsid w:val="00AF11BF"/>
    <w:rsid w:val="00B006A1"/>
    <w:rsid w:val="00B04FED"/>
    <w:rsid w:val="00B15D27"/>
    <w:rsid w:val="00B17612"/>
    <w:rsid w:val="00B36251"/>
    <w:rsid w:val="00B71225"/>
    <w:rsid w:val="00B92FFF"/>
    <w:rsid w:val="00BB3C4F"/>
    <w:rsid w:val="00BB7158"/>
    <w:rsid w:val="00BC518D"/>
    <w:rsid w:val="00BE05B9"/>
    <w:rsid w:val="00BE2E1B"/>
    <w:rsid w:val="00C055BA"/>
    <w:rsid w:val="00C360E0"/>
    <w:rsid w:val="00C4720D"/>
    <w:rsid w:val="00C51BE6"/>
    <w:rsid w:val="00C64D17"/>
    <w:rsid w:val="00C6628A"/>
    <w:rsid w:val="00C73C90"/>
    <w:rsid w:val="00C806B1"/>
    <w:rsid w:val="00C82ED1"/>
    <w:rsid w:val="00CA64A2"/>
    <w:rsid w:val="00CB72D6"/>
    <w:rsid w:val="00CC2220"/>
    <w:rsid w:val="00CD3A1E"/>
    <w:rsid w:val="00CD770D"/>
    <w:rsid w:val="00CF443C"/>
    <w:rsid w:val="00D27439"/>
    <w:rsid w:val="00D50603"/>
    <w:rsid w:val="00D70D6A"/>
    <w:rsid w:val="00D73FD8"/>
    <w:rsid w:val="00D86603"/>
    <w:rsid w:val="00DA2C7B"/>
    <w:rsid w:val="00DA39EB"/>
    <w:rsid w:val="00DC26C0"/>
    <w:rsid w:val="00DC5E2C"/>
    <w:rsid w:val="00DD4F1E"/>
    <w:rsid w:val="00DE2B4F"/>
    <w:rsid w:val="00DE654A"/>
    <w:rsid w:val="00E05E97"/>
    <w:rsid w:val="00E274ED"/>
    <w:rsid w:val="00E3221B"/>
    <w:rsid w:val="00E3403A"/>
    <w:rsid w:val="00E53F99"/>
    <w:rsid w:val="00E61EA7"/>
    <w:rsid w:val="00E64480"/>
    <w:rsid w:val="00E64DED"/>
    <w:rsid w:val="00E677BD"/>
    <w:rsid w:val="00E8407D"/>
    <w:rsid w:val="00EA21A9"/>
    <w:rsid w:val="00EB75E9"/>
    <w:rsid w:val="00EC1C60"/>
    <w:rsid w:val="00EC6E32"/>
    <w:rsid w:val="00EE16EC"/>
    <w:rsid w:val="00EF73EA"/>
    <w:rsid w:val="00F05B98"/>
    <w:rsid w:val="00F26286"/>
    <w:rsid w:val="00F328B8"/>
    <w:rsid w:val="00F35127"/>
    <w:rsid w:val="00F44C53"/>
    <w:rsid w:val="00F5190B"/>
    <w:rsid w:val="00F72585"/>
    <w:rsid w:val="00F931B4"/>
    <w:rsid w:val="00F97678"/>
    <w:rsid w:val="00FA7D29"/>
    <w:rsid w:val="00FC016F"/>
    <w:rsid w:val="00FC14E0"/>
    <w:rsid w:val="00FC2EB4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B98B"/>
  <w15:docId w15:val="{61D082A1-ACDF-4151-B5F9-BCA13C8F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BB7"/>
    <w:pPr>
      <w:jc w:val="both"/>
    </w:pPr>
    <w:rPr>
      <w:rFonts w:ascii="Tahoma" w:hAnsi="Tahoma"/>
      <w:sz w:val="20"/>
    </w:rPr>
  </w:style>
  <w:style w:type="paragraph" w:styleId="Ttulo1">
    <w:name w:val="heading 1"/>
    <w:basedOn w:val="Normal"/>
    <w:next w:val="Normal"/>
    <w:link w:val="Ttulo1Car"/>
    <w:qFormat/>
    <w:rsid w:val="00FC14E0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14E0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C14E0"/>
    <w:rPr>
      <w:rFonts w:ascii="Tahoma" w:eastAsiaTheme="majorEastAsia" w:hAnsi="Tahoma" w:cstheme="majorBidi"/>
      <w:b/>
      <w:bCs/>
      <w:sz w:val="20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14E0"/>
    <w:rPr>
      <w:rFonts w:ascii="Tahoma" w:eastAsiaTheme="majorEastAsia" w:hAnsi="Tahoma" w:cstheme="majorBidi"/>
      <w:b/>
      <w:bCs/>
      <w:sz w:val="20"/>
      <w:szCs w:val="26"/>
    </w:rPr>
  </w:style>
  <w:style w:type="paragraph" w:styleId="Encabezado">
    <w:name w:val="header"/>
    <w:basedOn w:val="Normal"/>
    <w:link w:val="Encabezado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C14E0"/>
    <w:rPr>
      <w:rFonts w:ascii="Tahoma" w:hAnsi="Tahoma"/>
      <w:sz w:val="20"/>
    </w:rPr>
  </w:style>
  <w:style w:type="paragraph" w:styleId="Piedepgina">
    <w:name w:val="footer"/>
    <w:basedOn w:val="Normal"/>
    <w:link w:val="Piedepgina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C14E0"/>
    <w:rPr>
      <w:rFonts w:ascii="Tahoma" w:hAnsi="Tahoma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14E0"/>
    <w:pPr>
      <w:spacing w:after="0"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4E0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C14E0"/>
  </w:style>
  <w:style w:type="paragraph" w:styleId="Textocomentario">
    <w:name w:val="annotation text"/>
    <w:basedOn w:val="Normal"/>
    <w:link w:val="TextocomentarioCar"/>
    <w:semiHidden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FC14E0"/>
    <w:rPr>
      <w:bCs/>
    </w:rPr>
  </w:style>
  <w:style w:type="numbering" w:customStyle="1" w:styleId="Estilo3">
    <w:name w:val="Estilo3"/>
    <w:rsid w:val="00FC14E0"/>
    <w:pPr>
      <w:numPr>
        <w:numId w:val="3"/>
      </w:numPr>
    </w:pPr>
  </w:style>
  <w:style w:type="paragraph" w:styleId="Prrafodelista">
    <w:name w:val="List Paragraph"/>
    <w:basedOn w:val="Normal"/>
    <w:uiPriority w:val="34"/>
    <w:qFormat/>
    <w:rsid w:val="00FC14E0"/>
    <w:pPr>
      <w:spacing w:after="0" w:line="240" w:lineRule="auto"/>
      <w:ind w:left="708"/>
    </w:pPr>
    <w:rPr>
      <w:rFonts w:eastAsia="Times New Roman" w:cs="Times New Roman"/>
      <w:szCs w:val="24"/>
      <w:lang w:val="es-ES" w:eastAsia="es-ES"/>
    </w:rPr>
  </w:style>
  <w:style w:type="paragraph" w:customStyle="1" w:styleId="Estilo2">
    <w:name w:val="Estilo2"/>
    <w:basedOn w:val="Normal"/>
    <w:autoRedefine/>
    <w:qFormat/>
    <w:rsid w:val="00FC14E0"/>
    <w:pPr>
      <w:numPr>
        <w:ilvl w:val="1"/>
        <w:numId w:val="6"/>
      </w:numPr>
      <w:spacing w:before="120" w:after="0" w:line="240" w:lineRule="auto"/>
    </w:pPr>
    <w:rPr>
      <w:rFonts w:eastAsia="Times New Roman" w:cs="Times New Roman"/>
      <w:b/>
      <w:szCs w:val="24"/>
      <w:lang w:val="es-ES" w:eastAsia="es-ES"/>
    </w:rPr>
  </w:style>
  <w:style w:type="paragraph" w:customStyle="1" w:styleId="Estilo1">
    <w:name w:val="Estilo1"/>
    <w:basedOn w:val="TDC9"/>
    <w:qFormat/>
    <w:rsid w:val="00FC14E0"/>
    <w:pPr>
      <w:numPr>
        <w:numId w:val="8"/>
      </w:numPr>
      <w:tabs>
        <w:tab w:val="num" w:pos="360"/>
      </w:tabs>
      <w:autoSpaceDE w:val="0"/>
      <w:autoSpaceDN w:val="0"/>
      <w:adjustRightInd w:val="0"/>
      <w:spacing w:before="120" w:after="120" w:line="240" w:lineRule="auto"/>
      <w:ind w:left="1600" w:firstLine="0"/>
    </w:pPr>
    <w:rPr>
      <w:rFonts w:eastAsia="Times New Roman" w:cs="Tahoma"/>
      <w:b/>
      <w:sz w:val="22"/>
      <w:lang w:val="es-ES" w:eastAsia="es-ES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FC14E0"/>
    <w:pPr>
      <w:spacing w:after="100"/>
      <w:ind w:left="160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14E0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FC14E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C14E0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FC14E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C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ulo3">
    <w:name w:val="Titulo 3"/>
    <w:basedOn w:val="Normal"/>
    <w:link w:val="Titulo3Car"/>
    <w:qFormat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itulo3Car">
    <w:name w:val="Titulo 3 Car"/>
    <w:basedOn w:val="Fuentedeprrafopredeter"/>
    <w:link w:val="Titulo3"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numbering" w:customStyle="1" w:styleId="Estilo8">
    <w:name w:val="Estilo8"/>
    <w:rsid w:val="00CF443C"/>
    <w:pPr>
      <w:numPr>
        <w:numId w:val="14"/>
      </w:numPr>
    </w:pPr>
  </w:style>
  <w:style w:type="character" w:styleId="Hipervnculovisitado">
    <w:name w:val="FollowedHyperlink"/>
    <w:basedOn w:val="Fuentedeprrafopredeter"/>
    <w:uiPriority w:val="99"/>
    <w:semiHidden/>
    <w:unhideWhenUsed/>
    <w:rsid w:val="006308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339BD-3330-4382-A817-03EC3A28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850</Words>
  <Characters>4678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controlinterno</dc:creator>
  <cp:lastModifiedBy>Cuenta Microsoft</cp:lastModifiedBy>
  <cp:revision>13</cp:revision>
  <cp:lastPrinted>2014-12-03T15:20:00Z</cp:lastPrinted>
  <dcterms:created xsi:type="dcterms:W3CDTF">2017-12-14T15:33:00Z</dcterms:created>
  <dcterms:modified xsi:type="dcterms:W3CDTF">2023-01-18T20:02:00Z</dcterms:modified>
</cp:coreProperties>
</file>